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diagrams/quickStyle1.xml" ContentType="application/vnd.openxmlformats-officedocument.drawingml.diagramStyle+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08241A" w14:textId="77777777" w:rsidR="00D25D40" w:rsidRPr="00B672CA" w:rsidRDefault="00D25D40" w:rsidP="00D25D40">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B672CA">
        <w:rPr>
          <w:rFonts w:ascii="Times New Roman" w:eastAsia="Times New Roman" w:hAnsi="Times New Roman"/>
          <w:b/>
          <w:bCs/>
          <w:caps/>
          <w:color w:val="000000"/>
          <w:sz w:val="28"/>
          <w:szCs w:val="28"/>
        </w:rPr>
        <w:t>GEF-6 REQUEST FOR PROJECT ENDORSEMENT/APPROVAL</w:t>
      </w:r>
    </w:p>
    <w:p w14:paraId="665DCF3C" w14:textId="77777777" w:rsidR="00D25D40" w:rsidRPr="00B672CA" w:rsidRDefault="00D25D40" w:rsidP="00D25D40">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B672CA">
        <w:rPr>
          <w:rFonts w:ascii="Times New Roman" w:eastAsia="Times New Roman" w:hAnsi="Times New Roman"/>
          <w:b/>
          <w:bCs/>
          <w:smallCaps/>
          <w:color w:val="000000"/>
          <w:sz w:val="20"/>
          <w:szCs w:val="20"/>
        </w:rPr>
        <w:t xml:space="preserve">Project Type: </w:t>
      </w:r>
      <w:bookmarkEnd w:id="1"/>
      <w:r w:rsidRPr="00B672CA">
        <w:rPr>
          <w:rFonts w:ascii="Times New Roman" w:eastAsia="Times New Roman" w:hAnsi="Times New Roman"/>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2" w:name="projectType"/>
      <w:r w:rsidRPr="00B672CA">
        <w:rPr>
          <w:rFonts w:ascii="Times New Roman" w:eastAsia="Times New Roman" w:hAnsi="Times New Roman"/>
          <w:b/>
          <w:bCs/>
          <w:smallCaps/>
          <w:color w:val="000000"/>
          <w:sz w:val="20"/>
          <w:szCs w:val="20"/>
        </w:rPr>
        <w:instrText xml:space="preserve"> FORMDROPDOWN </w:instrText>
      </w:r>
      <w:r w:rsidR="0004701D">
        <w:rPr>
          <w:rFonts w:ascii="Times New Roman" w:eastAsia="Times New Roman" w:hAnsi="Times New Roman"/>
          <w:b/>
          <w:bCs/>
          <w:smallCaps/>
          <w:color w:val="000000"/>
          <w:sz w:val="20"/>
          <w:szCs w:val="20"/>
        </w:rPr>
      </w:r>
      <w:r w:rsidR="0004701D">
        <w:rPr>
          <w:rFonts w:ascii="Times New Roman" w:eastAsia="Times New Roman" w:hAnsi="Times New Roman"/>
          <w:b/>
          <w:bCs/>
          <w:smallCaps/>
          <w:color w:val="000000"/>
          <w:sz w:val="20"/>
          <w:szCs w:val="20"/>
        </w:rPr>
        <w:fldChar w:fldCharType="separate"/>
      </w:r>
      <w:r w:rsidRPr="00B672CA">
        <w:rPr>
          <w:rFonts w:ascii="Times New Roman" w:eastAsia="Times New Roman" w:hAnsi="Times New Roman"/>
          <w:b/>
          <w:bCs/>
          <w:smallCaps/>
          <w:color w:val="000000"/>
          <w:sz w:val="20"/>
          <w:szCs w:val="20"/>
        </w:rPr>
        <w:fldChar w:fldCharType="end"/>
      </w:r>
      <w:bookmarkEnd w:id="2"/>
      <w:r w:rsidRPr="00B672CA">
        <w:rPr>
          <w:rFonts w:ascii="Times New Roman" w:eastAsia="Times New Roman" w:hAnsi="Times New Roman"/>
          <w:bCs/>
          <w:smallCaps/>
          <w:color w:val="000000"/>
          <w:sz w:val="20"/>
          <w:szCs w:val="20"/>
        </w:rPr>
        <w:t xml:space="preserve"> </w:t>
      </w:r>
    </w:p>
    <w:p w14:paraId="37E4302D" w14:textId="77777777" w:rsidR="00D25D40" w:rsidRPr="00B672CA" w:rsidRDefault="00D25D40" w:rsidP="00D25D40">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B672CA">
        <w:rPr>
          <w:rFonts w:ascii="Times New Roman" w:eastAsia="Times New Roman" w:hAnsi="Times New Roman"/>
          <w:b/>
          <w:bCs/>
          <w:smallCaps/>
          <w:color w:val="000000"/>
          <w:sz w:val="20"/>
          <w:szCs w:val="20"/>
        </w:rPr>
        <w:t>Type of Trust Fund:</w:t>
      </w:r>
      <w:r w:rsidRPr="00B672CA">
        <w:rPr>
          <w:rFonts w:ascii="Times New Roman" w:eastAsia="Times New Roman" w:hAnsi="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Pr="00B672CA">
        <w:rPr>
          <w:rFonts w:ascii="Times New Roman" w:eastAsia="Times New Roman" w:hAnsi="Times New Roman"/>
          <w:b/>
          <w:bCs/>
          <w:smallCaps/>
          <w:color w:val="000000"/>
          <w:sz w:val="20"/>
          <w:szCs w:val="20"/>
        </w:rPr>
        <w:instrText xml:space="preserve"> FORMDROPDOWN </w:instrText>
      </w:r>
      <w:r w:rsidR="0004701D">
        <w:rPr>
          <w:rFonts w:ascii="Times New Roman" w:eastAsia="Times New Roman" w:hAnsi="Times New Roman"/>
          <w:b/>
          <w:bCs/>
          <w:smallCaps/>
          <w:color w:val="000000"/>
          <w:sz w:val="20"/>
          <w:szCs w:val="20"/>
        </w:rPr>
      </w:r>
      <w:r w:rsidR="0004701D">
        <w:rPr>
          <w:rFonts w:ascii="Times New Roman" w:eastAsia="Times New Roman" w:hAnsi="Times New Roman"/>
          <w:b/>
          <w:bCs/>
          <w:smallCaps/>
          <w:color w:val="000000"/>
          <w:sz w:val="20"/>
          <w:szCs w:val="20"/>
        </w:rPr>
        <w:fldChar w:fldCharType="separate"/>
      </w:r>
      <w:r w:rsidRPr="00B672CA">
        <w:rPr>
          <w:rFonts w:ascii="Times New Roman" w:eastAsia="Times New Roman" w:hAnsi="Times New Roman"/>
          <w:b/>
          <w:bCs/>
          <w:smallCaps/>
          <w:color w:val="000000"/>
          <w:sz w:val="20"/>
          <w:szCs w:val="20"/>
        </w:rPr>
        <w:fldChar w:fldCharType="end"/>
      </w:r>
      <w:bookmarkEnd w:id="3"/>
    </w:p>
    <w:p w14:paraId="48190018" w14:textId="77777777" w:rsidR="00D25D40" w:rsidRPr="00B672CA" w:rsidRDefault="00D25D40" w:rsidP="00D25D40">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B672CA">
        <w:rPr>
          <w:rFonts w:ascii="Times New Roman" w:hAnsi="Times New Roman"/>
          <w:color w:val="000000"/>
          <w:sz w:val="18"/>
          <w:szCs w:val="18"/>
        </w:rPr>
        <w:t xml:space="preserve">For more information about GEF, visit </w:t>
      </w:r>
      <w:hyperlink r:id="rId8" w:history="1">
        <w:r w:rsidRPr="00B672CA">
          <w:rPr>
            <w:rFonts w:ascii="Times New Roman" w:hAnsi="Times New Roman"/>
            <w:color w:val="000000"/>
            <w:sz w:val="18"/>
            <w:szCs w:val="18"/>
            <w:u w:val="single"/>
          </w:rPr>
          <w:t>TheGEF.org</w:t>
        </w:r>
      </w:hyperlink>
    </w:p>
    <w:p w14:paraId="02257915" w14:textId="77777777" w:rsidR="00D25D40" w:rsidRPr="00B672CA" w:rsidRDefault="00D25D40" w:rsidP="00D25D40">
      <w:pPr>
        <w:spacing w:after="0" w:line="240" w:lineRule="auto"/>
        <w:rPr>
          <w:rFonts w:ascii="Times New Roman" w:eastAsia="Times New Roman" w:hAnsi="Times New Roman"/>
          <w:caps/>
          <w:color w:val="000000"/>
        </w:rPr>
      </w:pPr>
      <w:r w:rsidRPr="00B672CA">
        <w:rPr>
          <w:rFonts w:ascii="Times New Roman" w:hAnsi="Times New Roman"/>
          <w:noProof/>
          <w:color w:val="000000"/>
        </w:rPr>
        <w:drawing>
          <wp:anchor distT="0" distB="0" distL="114300" distR="114300" simplePos="0" relativeHeight="251657728" behindDoc="0" locked="0" layoutInCell="1" allowOverlap="1" wp14:anchorId="4BF87943" wp14:editId="2984F4DE">
            <wp:simplePos x="0" y="0"/>
            <wp:positionH relativeFrom="column">
              <wp:posOffset>152400</wp:posOffset>
            </wp:positionH>
            <wp:positionV relativeFrom="paragraph">
              <wp:posOffset>76200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A2BE5E" w14:textId="78DA3D66" w:rsidR="00D25D40" w:rsidRPr="00B672CA" w:rsidRDefault="00D25D40" w:rsidP="00D25D40">
      <w:pPr>
        <w:tabs>
          <w:tab w:val="left" w:pos="360"/>
          <w:tab w:val="left" w:pos="7455"/>
        </w:tabs>
        <w:spacing w:after="80" w:line="240" w:lineRule="auto"/>
        <w:ind w:right="-187"/>
        <w:rPr>
          <w:rFonts w:ascii="Times New Roman" w:eastAsia="Times New Roman" w:hAnsi="Times New Roman"/>
          <w:b/>
          <w:color w:val="000000"/>
        </w:rPr>
      </w:pPr>
      <w:r w:rsidRPr="00B672CA">
        <w:rPr>
          <w:rFonts w:ascii="Times New Roman" w:eastAsia="Times New Roman" w:hAnsi="Times New Roman"/>
          <w:b/>
          <w:caps/>
          <w:color w:val="000000"/>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4"/>
        <w:gridCol w:w="3623"/>
        <w:gridCol w:w="1598"/>
        <w:gridCol w:w="1150"/>
        <w:gridCol w:w="1537"/>
      </w:tblGrid>
      <w:tr w:rsidR="00D25D40" w:rsidRPr="00B672CA" w14:paraId="6134891C" w14:textId="77777777" w:rsidTr="00696322">
        <w:tc>
          <w:tcPr>
            <w:tcW w:w="5000" w:type="pct"/>
            <w:gridSpan w:val="5"/>
          </w:tcPr>
          <w:p w14:paraId="686E0EA4" w14:textId="77777777" w:rsidR="00D25D40" w:rsidRPr="00B672CA" w:rsidRDefault="00D25D40" w:rsidP="00371C61">
            <w:pPr>
              <w:pStyle w:val="Tabletext"/>
              <w:rPr>
                <w:rFonts w:eastAsia="Times New Roman"/>
              </w:rPr>
            </w:pPr>
            <w:r w:rsidRPr="00B672CA">
              <w:rPr>
                <w:rFonts w:eastAsia="Times New Roman"/>
              </w:rPr>
              <w:t xml:space="preserve">Project Title: </w:t>
            </w:r>
            <w:r w:rsidRPr="00B672CA">
              <w:t>Piloting Innovative Investments for Sustainable Landscapes</w:t>
            </w:r>
          </w:p>
        </w:tc>
      </w:tr>
      <w:tr w:rsidR="00D25D40" w:rsidRPr="00B672CA" w14:paraId="67920FF3" w14:textId="77777777" w:rsidTr="00696322">
        <w:tc>
          <w:tcPr>
            <w:tcW w:w="1274" w:type="pct"/>
          </w:tcPr>
          <w:p w14:paraId="377CE7B7" w14:textId="2CDCDFBD" w:rsidR="00D25D40" w:rsidRPr="00B672CA" w:rsidRDefault="00D25D40" w:rsidP="00371C61">
            <w:pPr>
              <w:pStyle w:val="Tabletext"/>
            </w:pPr>
            <w:r w:rsidRPr="00B672CA">
              <w:t>Countries:</w:t>
            </w:r>
          </w:p>
        </w:tc>
        <w:tc>
          <w:tcPr>
            <w:tcW w:w="1707" w:type="pct"/>
          </w:tcPr>
          <w:p w14:paraId="4DD22A93" w14:textId="77777777" w:rsidR="00D25D40" w:rsidRPr="00B672CA" w:rsidRDefault="00D25D40" w:rsidP="00371C61">
            <w:pPr>
              <w:pStyle w:val="Tabletext"/>
            </w:pPr>
            <w:r w:rsidRPr="00B672CA">
              <w:t>Global (Brazil, Indonesia, Liberia)</w:t>
            </w:r>
          </w:p>
        </w:tc>
        <w:tc>
          <w:tcPr>
            <w:tcW w:w="1295" w:type="pct"/>
            <w:gridSpan w:val="2"/>
          </w:tcPr>
          <w:p w14:paraId="12B8341A" w14:textId="4A39C886" w:rsidR="00D25D40" w:rsidRPr="00B672CA" w:rsidRDefault="00D25D40" w:rsidP="00371C61">
            <w:pPr>
              <w:pStyle w:val="Tabletext"/>
            </w:pPr>
            <w:r w:rsidRPr="00B672CA">
              <w:t>GEF Project ID:</w:t>
            </w:r>
          </w:p>
        </w:tc>
        <w:tc>
          <w:tcPr>
            <w:tcW w:w="724" w:type="pct"/>
          </w:tcPr>
          <w:p w14:paraId="3FB39619" w14:textId="77777777" w:rsidR="00D25D40" w:rsidRPr="00B672CA" w:rsidRDefault="00D25D40" w:rsidP="00371C61">
            <w:pPr>
              <w:pStyle w:val="Tabletext"/>
            </w:pPr>
            <w:r w:rsidRPr="00B672CA">
              <w:t>9719</w:t>
            </w:r>
          </w:p>
        </w:tc>
      </w:tr>
      <w:tr w:rsidR="00D25D40" w:rsidRPr="00B672CA" w14:paraId="3BB22F31" w14:textId="77777777" w:rsidTr="00696322">
        <w:tc>
          <w:tcPr>
            <w:tcW w:w="1274" w:type="pct"/>
          </w:tcPr>
          <w:p w14:paraId="697AD96E" w14:textId="06D8758C" w:rsidR="00D25D40" w:rsidRPr="00B672CA" w:rsidRDefault="00D25D40" w:rsidP="00371C61">
            <w:pPr>
              <w:pStyle w:val="Tabletext"/>
            </w:pPr>
            <w:r w:rsidRPr="00B672CA">
              <w:t>GEF Agency:</w:t>
            </w:r>
          </w:p>
        </w:tc>
        <w:tc>
          <w:tcPr>
            <w:tcW w:w="1707" w:type="pct"/>
          </w:tcPr>
          <w:p w14:paraId="28F45057" w14:textId="77777777" w:rsidR="00D25D40" w:rsidRPr="00B672CA" w:rsidRDefault="00D25D40" w:rsidP="00371C61">
            <w:pPr>
              <w:pStyle w:val="Tabletext"/>
            </w:pPr>
            <w:r w:rsidRPr="00B672CA">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4" w:name="GEF_IA_01"/>
            <w:r w:rsidRPr="00B672CA">
              <w:instrText xml:space="preserve"> FORMDROPDOWN </w:instrText>
            </w:r>
            <w:r w:rsidR="0004701D">
              <w:fldChar w:fldCharType="separate"/>
            </w:r>
            <w:r w:rsidRPr="00B672CA">
              <w:fldChar w:fldCharType="end"/>
            </w:r>
            <w:bookmarkEnd w:id="4"/>
          </w:p>
        </w:tc>
        <w:tc>
          <w:tcPr>
            <w:tcW w:w="1295" w:type="pct"/>
            <w:gridSpan w:val="2"/>
          </w:tcPr>
          <w:p w14:paraId="3FBAEB5A" w14:textId="77777777" w:rsidR="00D25D40" w:rsidRPr="00B672CA" w:rsidRDefault="00D25D40" w:rsidP="00371C61">
            <w:pPr>
              <w:pStyle w:val="Tabletext"/>
            </w:pPr>
            <w:r w:rsidRPr="00B672CA">
              <w:t>GEF Agency Project ID:</w:t>
            </w:r>
          </w:p>
        </w:tc>
        <w:tc>
          <w:tcPr>
            <w:tcW w:w="724" w:type="pct"/>
          </w:tcPr>
          <w:p w14:paraId="00E3BC0F" w14:textId="77777777" w:rsidR="00D25D40" w:rsidRPr="00B672CA" w:rsidRDefault="00D25D40" w:rsidP="00371C61">
            <w:pPr>
              <w:pStyle w:val="Tabletext"/>
            </w:pPr>
            <w:r w:rsidRPr="00B672CA">
              <w:t>01545</w:t>
            </w:r>
          </w:p>
        </w:tc>
      </w:tr>
      <w:tr w:rsidR="00D25D40" w:rsidRPr="00B672CA" w14:paraId="0E682EF6" w14:textId="77777777" w:rsidTr="00696322">
        <w:tc>
          <w:tcPr>
            <w:tcW w:w="1274" w:type="pct"/>
          </w:tcPr>
          <w:p w14:paraId="3DC936EE" w14:textId="77777777" w:rsidR="00D25D40" w:rsidRPr="00B672CA" w:rsidRDefault="00D25D40" w:rsidP="00371C61">
            <w:pPr>
              <w:pStyle w:val="Tabletext"/>
            </w:pPr>
            <w:r w:rsidRPr="00B672CA">
              <w:t>Other Executing Partner(s):</w:t>
            </w:r>
          </w:p>
        </w:tc>
        <w:tc>
          <w:tcPr>
            <w:tcW w:w="1707" w:type="pct"/>
          </w:tcPr>
          <w:p w14:paraId="6B4D1C61" w14:textId="27F57433" w:rsidR="00E560B7" w:rsidRPr="00B672CA" w:rsidRDefault="00D25D40" w:rsidP="00371C61">
            <w:pPr>
              <w:pStyle w:val="Tabletext"/>
            </w:pPr>
            <w:r w:rsidRPr="00B672CA">
              <w:t>The Sustainable Trade Initiative</w:t>
            </w:r>
            <w:r w:rsidR="00521FF1" w:rsidRPr="00B672CA">
              <w:rPr>
                <w:rStyle w:val="FootnoteReference"/>
                <w:lang w:val="en-US"/>
              </w:rPr>
              <w:footnoteReference w:id="1"/>
            </w:r>
            <w:r w:rsidRPr="00B672CA">
              <w:t xml:space="preserve"> (IDH)</w:t>
            </w:r>
            <w:r w:rsidR="00521FF1" w:rsidRPr="00B672CA">
              <w:t xml:space="preserve">, </w:t>
            </w:r>
            <w:r w:rsidR="00005AAD" w:rsidRPr="00B672CA">
              <w:t>&amp;Green Fund</w:t>
            </w:r>
            <w:r w:rsidR="006A621D" w:rsidRPr="00B672CA">
              <w:rPr>
                <w:rStyle w:val="FootnoteReference"/>
                <w:lang w:val="en-US"/>
              </w:rPr>
              <w:footnoteReference w:id="2"/>
            </w:r>
          </w:p>
        </w:tc>
        <w:tc>
          <w:tcPr>
            <w:tcW w:w="1295" w:type="pct"/>
            <w:gridSpan w:val="2"/>
          </w:tcPr>
          <w:p w14:paraId="08469FDD" w14:textId="77777777" w:rsidR="00D25D40" w:rsidRPr="00B672CA" w:rsidRDefault="00D25D40" w:rsidP="00371C61">
            <w:pPr>
              <w:pStyle w:val="Tabletext"/>
            </w:pPr>
            <w:r w:rsidRPr="00B672CA">
              <w:t>Submission Date:</w:t>
            </w:r>
          </w:p>
        </w:tc>
        <w:tc>
          <w:tcPr>
            <w:tcW w:w="724" w:type="pct"/>
          </w:tcPr>
          <w:p w14:paraId="186FA70C" w14:textId="3013DB8C" w:rsidR="00D25D40" w:rsidRPr="00B672CA" w:rsidRDefault="006A6C7F" w:rsidP="00371C61">
            <w:pPr>
              <w:pStyle w:val="Tabletext"/>
            </w:pPr>
            <w:r>
              <w:t>December 22, 2017</w:t>
            </w:r>
          </w:p>
        </w:tc>
      </w:tr>
      <w:tr w:rsidR="00D25D40" w:rsidRPr="00B672CA" w14:paraId="34AD24FA" w14:textId="77777777" w:rsidTr="00696322">
        <w:tc>
          <w:tcPr>
            <w:tcW w:w="1274" w:type="pct"/>
          </w:tcPr>
          <w:p w14:paraId="4DDE3E4D" w14:textId="77777777" w:rsidR="00D25D40" w:rsidRPr="00B672CA" w:rsidRDefault="00D25D40" w:rsidP="00371C61">
            <w:pPr>
              <w:pStyle w:val="Tabletext"/>
            </w:pPr>
            <w:r w:rsidRPr="00B672CA">
              <w:t>GEF Focal Area (s):</w:t>
            </w:r>
          </w:p>
        </w:tc>
        <w:tc>
          <w:tcPr>
            <w:tcW w:w="1707" w:type="pct"/>
          </w:tcPr>
          <w:p w14:paraId="6208ECE2" w14:textId="77777777" w:rsidR="00D25D40" w:rsidRPr="00B672CA" w:rsidRDefault="00D25D40" w:rsidP="00371C61">
            <w:pPr>
              <w:pStyle w:val="Tabletext"/>
            </w:pPr>
            <w:r w:rsidRPr="00B672CA">
              <w:t>Land Degradation</w:t>
            </w:r>
          </w:p>
        </w:tc>
        <w:tc>
          <w:tcPr>
            <w:tcW w:w="1295" w:type="pct"/>
            <w:gridSpan w:val="2"/>
          </w:tcPr>
          <w:p w14:paraId="0B747CEF" w14:textId="77777777" w:rsidR="00D25D40" w:rsidRPr="00B672CA" w:rsidRDefault="00D25D40" w:rsidP="00371C61">
            <w:pPr>
              <w:pStyle w:val="Tabletext"/>
            </w:pPr>
            <w:r w:rsidRPr="00B672CA">
              <w:t>Project Duration (Months)</w:t>
            </w:r>
          </w:p>
        </w:tc>
        <w:tc>
          <w:tcPr>
            <w:tcW w:w="724" w:type="pct"/>
          </w:tcPr>
          <w:p w14:paraId="0EE9A6B5" w14:textId="6627D2FF" w:rsidR="00D25D40" w:rsidRPr="00B672CA" w:rsidRDefault="00D25D40" w:rsidP="00371C61">
            <w:pPr>
              <w:pStyle w:val="Tabletext"/>
            </w:pPr>
            <w:r w:rsidRPr="00B672CA">
              <w:t>36</w:t>
            </w:r>
            <w:r w:rsidR="00086817" w:rsidRPr="00B672CA">
              <w:rPr>
                <w:rStyle w:val="FootnoteReference"/>
                <w:lang w:val="en-US"/>
              </w:rPr>
              <w:footnoteReference w:id="3"/>
            </w:r>
          </w:p>
        </w:tc>
      </w:tr>
      <w:tr w:rsidR="00D25D40" w:rsidRPr="00B672CA" w14:paraId="62581D42" w14:textId="77777777" w:rsidTr="00696322">
        <w:tc>
          <w:tcPr>
            <w:tcW w:w="1274" w:type="pct"/>
          </w:tcPr>
          <w:p w14:paraId="71705FA3" w14:textId="77777777" w:rsidR="00D25D40" w:rsidRPr="00B672CA" w:rsidRDefault="00D25D40" w:rsidP="00371C61">
            <w:pPr>
              <w:pStyle w:val="Tabletext"/>
            </w:pPr>
            <w:r w:rsidRPr="00B672CA">
              <w:t>Integrated Approach Pilot</w:t>
            </w:r>
          </w:p>
        </w:tc>
        <w:tc>
          <w:tcPr>
            <w:tcW w:w="2460" w:type="pct"/>
            <w:gridSpan w:val="2"/>
          </w:tcPr>
          <w:p w14:paraId="7F11E1BA" w14:textId="77777777" w:rsidR="00D25D40" w:rsidRPr="00B672CA" w:rsidRDefault="00D25D40" w:rsidP="00371C61">
            <w:pPr>
              <w:pStyle w:val="Tabletext"/>
            </w:pPr>
            <w:r w:rsidRPr="00B672CA">
              <w:t xml:space="preserve">IAP-Cities </w:t>
            </w:r>
            <w:r w:rsidRPr="00B672CA">
              <w:fldChar w:fldCharType="begin">
                <w:ffData>
                  <w:name w:val="ChK_CCCD"/>
                  <w:enabled/>
                  <w:calcOnExit w:val="0"/>
                  <w:checkBox>
                    <w:sizeAuto/>
                    <w:default w:val="0"/>
                  </w:checkBox>
                </w:ffData>
              </w:fldChar>
            </w:r>
            <w:r w:rsidRPr="00B672CA">
              <w:instrText xml:space="preserve"> FORMCHECKBOX </w:instrText>
            </w:r>
            <w:r w:rsidR="0004701D">
              <w:fldChar w:fldCharType="separate"/>
            </w:r>
            <w:r w:rsidRPr="00B672CA">
              <w:fldChar w:fldCharType="end"/>
            </w:r>
            <w:r w:rsidRPr="00B672CA">
              <w:t xml:space="preserve"> IAP-Commodities </w:t>
            </w:r>
            <w:r w:rsidRPr="00B672CA">
              <w:fldChar w:fldCharType="begin">
                <w:ffData>
                  <w:name w:val="ChK_CCCD"/>
                  <w:enabled/>
                  <w:calcOnExit w:val="0"/>
                  <w:checkBox>
                    <w:sizeAuto/>
                    <w:default w:val="0"/>
                  </w:checkBox>
                </w:ffData>
              </w:fldChar>
            </w:r>
            <w:r w:rsidRPr="00B672CA">
              <w:instrText xml:space="preserve"> FORMCHECKBOX </w:instrText>
            </w:r>
            <w:r w:rsidR="0004701D">
              <w:fldChar w:fldCharType="separate"/>
            </w:r>
            <w:r w:rsidRPr="00B672CA">
              <w:fldChar w:fldCharType="end"/>
            </w:r>
            <w:r w:rsidRPr="00B672CA">
              <w:t xml:space="preserve"> IAP-Food Security </w:t>
            </w:r>
            <w:r w:rsidRPr="00B672CA">
              <w:fldChar w:fldCharType="begin">
                <w:ffData>
                  <w:name w:val="ChK_CCCD"/>
                  <w:enabled/>
                  <w:calcOnExit w:val="0"/>
                  <w:checkBox>
                    <w:sizeAuto/>
                    <w:default w:val="0"/>
                  </w:checkBox>
                </w:ffData>
              </w:fldChar>
            </w:r>
            <w:r w:rsidRPr="00B672CA">
              <w:instrText xml:space="preserve"> FORMCHECKBOX </w:instrText>
            </w:r>
            <w:r w:rsidR="0004701D">
              <w:fldChar w:fldCharType="separate"/>
            </w:r>
            <w:r w:rsidRPr="00B672CA">
              <w:fldChar w:fldCharType="end"/>
            </w:r>
          </w:p>
        </w:tc>
        <w:tc>
          <w:tcPr>
            <w:tcW w:w="1266" w:type="pct"/>
            <w:gridSpan w:val="2"/>
          </w:tcPr>
          <w:p w14:paraId="6C0DA3F7" w14:textId="77777777" w:rsidR="00D25D40" w:rsidRPr="00B672CA" w:rsidRDefault="00D25D40" w:rsidP="00371C61">
            <w:pPr>
              <w:pStyle w:val="Tabletext"/>
            </w:pPr>
            <w:r w:rsidRPr="00B672CA">
              <w:t xml:space="preserve">Corporate Program: SGP </w:t>
            </w:r>
            <w:r w:rsidRPr="00B672CA">
              <w:fldChar w:fldCharType="begin">
                <w:ffData>
                  <w:name w:val="ChK_CCCD"/>
                  <w:enabled/>
                  <w:calcOnExit w:val="0"/>
                  <w:checkBox>
                    <w:sizeAuto/>
                    <w:default w:val="0"/>
                  </w:checkBox>
                </w:ffData>
              </w:fldChar>
            </w:r>
            <w:r w:rsidRPr="00B672CA">
              <w:instrText xml:space="preserve"> FORMCHECKBOX </w:instrText>
            </w:r>
            <w:r w:rsidR="0004701D">
              <w:fldChar w:fldCharType="separate"/>
            </w:r>
            <w:r w:rsidRPr="00B672CA">
              <w:fldChar w:fldCharType="end"/>
            </w:r>
          </w:p>
        </w:tc>
      </w:tr>
      <w:tr w:rsidR="00D25D40" w:rsidRPr="00B672CA" w14:paraId="7A3560AE" w14:textId="77777777" w:rsidTr="00696322">
        <w:tc>
          <w:tcPr>
            <w:tcW w:w="1274" w:type="pct"/>
          </w:tcPr>
          <w:p w14:paraId="696767C8" w14:textId="77777777" w:rsidR="00D25D40" w:rsidRPr="00B672CA" w:rsidRDefault="00D25D40" w:rsidP="00371C61">
            <w:pPr>
              <w:pStyle w:val="Tabletext"/>
            </w:pPr>
            <w:r w:rsidRPr="00B672CA">
              <w:t>Name of Parent Program</w:t>
            </w:r>
          </w:p>
        </w:tc>
        <w:tc>
          <w:tcPr>
            <w:tcW w:w="1707" w:type="pct"/>
          </w:tcPr>
          <w:p w14:paraId="3F0558B2" w14:textId="77777777" w:rsidR="00D25D40" w:rsidRPr="00B672CA" w:rsidRDefault="00D25D40" w:rsidP="00371C61">
            <w:pPr>
              <w:pStyle w:val="Tabletext"/>
            </w:pPr>
            <w:bookmarkStart w:id="5" w:name="ParentProjectName"/>
            <w:r w:rsidRPr="00B672CA">
              <w:t>NA</w:t>
            </w:r>
          </w:p>
        </w:tc>
        <w:tc>
          <w:tcPr>
            <w:tcW w:w="1295" w:type="pct"/>
            <w:gridSpan w:val="2"/>
          </w:tcPr>
          <w:p w14:paraId="4B2873DD" w14:textId="77777777" w:rsidR="00D25D40" w:rsidRPr="00B672CA" w:rsidRDefault="00D25D40" w:rsidP="00371C61">
            <w:pPr>
              <w:pStyle w:val="Tabletext"/>
            </w:pPr>
            <w:r w:rsidRPr="00B672CA">
              <w:t>Agency Fee ($)</w:t>
            </w:r>
          </w:p>
        </w:tc>
        <w:bookmarkEnd w:id="5"/>
        <w:tc>
          <w:tcPr>
            <w:tcW w:w="724" w:type="pct"/>
          </w:tcPr>
          <w:p w14:paraId="69F1BEE6" w14:textId="77777777" w:rsidR="00D25D40" w:rsidRPr="00B672CA" w:rsidRDefault="00D25D40" w:rsidP="00371C61">
            <w:pPr>
              <w:pStyle w:val="Tabletext"/>
            </w:pPr>
            <w:r w:rsidRPr="00B672CA">
              <w:t>190,000</w:t>
            </w:r>
          </w:p>
        </w:tc>
      </w:tr>
    </w:tbl>
    <w:p w14:paraId="6CCAFF53" w14:textId="25CEA761" w:rsidR="00D25D40" w:rsidRPr="00B672CA" w:rsidRDefault="00D25D40" w:rsidP="00D25D40">
      <w:pPr>
        <w:numPr>
          <w:ilvl w:val="0"/>
          <w:numId w:val="1"/>
        </w:numPr>
        <w:tabs>
          <w:tab w:val="left" w:pos="360"/>
        </w:tabs>
        <w:spacing w:before="240" w:after="80" w:line="240" w:lineRule="auto"/>
        <w:rPr>
          <w:rFonts w:ascii="Times New Roman" w:eastAsia="Times New Roman" w:hAnsi="Times New Roman"/>
          <w:b/>
          <w:smallCaps/>
          <w:color w:val="000000"/>
          <w:lang w:eastAsia="x-none"/>
        </w:rPr>
      </w:pPr>
      <w:r w:rsidRPr="00B672CA">
        <w:rPr>
          <w:rFonts w:ascii="Times New Roman" w:hAnsi="Times New Roman"/>
          <w:b/>
          <w:smallCaps/>
          <w:color w:val="000000"/>
        </w:rPr>
        <w:t>Focal Area  Strategy Framework and Other Program Strategies</w:t>
      </w:r>
    </w:p>
    <w:tbl>
      <w:tblPr>
        <w:tblW w:w="48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026"/>
        <w:gridCol w:w="3291"/>
        <w:gridCol w:w="829"/>
        <w:gridCol w:w="1313"/>
        <w:gridCol w:w="1145"/>
      </w:tblGrid>
      <w:tr w:rsidR="00D25D40" w:rsidRPr="00B672CA" w14:paraId="041EB335" w14:textId="77777777" w:rsidTr="00696322">
        <w:trPr>
          <w:trHeight w:val="143"/>
          <w:jc w:val="center"/>
        </w:trPr>
        <w:tc>
          <w:tcPr>
            <w:tcW w:w="1898" w:type="pct"/>
            <w:vMerge w:val="restart"/>
            <w:shd w:val="clear" w:color="auto" w:fill="FFFFFF"/>
            <w:vAlign w:val="center"/>
          </w:tcPr>
          <w:p w14:paraId="42B206C4" w14:textId="77777777" w:rsidR="00D25D40" w:rsidRPr="00B672CA" w:rsidRDefault="00D25D40" w:rsidP="00D46460">
            <w:pPr>
              <w:pStyle w:val="Tableheading"/>
            </w:pPr>
            <w:r w:rsidRPr="00B672CA">
              <w:t>Focal Area Objectives/ Programs</w:t>
            </w:r>
          </w:p>
        </w:tc>
        <w:tc>
          <w:tcPr>
            <w:tcW w:w="1552" w:type="pct"/>
            <w:vMerge w:val="restart"/>
            <w:shd w:val="clear" w:color="auto" w:fill="FFFFFF"/>
            <w:vAlign w:val="center"/>
          </w:tcPr>
          <w:p w14:paraId="42BA7188" w14:textId="77777777" w:rsidR="00D25D40" w:rsidRPr="00B672CA" w:rsidRDefault="00D25D40" w:rsidP="00D46460">
            <w:pPr>
              <w:pStyle w:val="Tableheading"/>
            </w:pPr>
            <w:r w:rsidRPr="00B672CA">
              <w:t>Focal Area Outcomes</w:t>
            </w:r>
          </w:p>
        </w:tc>
        <w:tc>
          <w:tcPr>
            <w:tcW w:w="391" w:type="pct"/>
            <w:vMerge w:val="restart"/>
            <w:shd w:val="clear" w:color="auto" w:fill="FFFFFF"/>
            <w:vAlign w:val="center"/>
          </w:tcPr>
          <w:p w14:paraId="05A25091" w14:textId="77777777" w:rsidR="00D25D40" w:rsidRPr="00B672CA" w:rsidRDefault="00D25D40" w:rsidP="00D46460">
            <w:pPr>
              <w:pStyle w:val="Tableheading"/>
            </w:pPr>
            <w:r w:rsidRPr="00B672CA">
              <w:t>Trust Fund</w:t>
            </w:r>
          </w:p>
        </w:tc>
        <w:tc>
          <w:tcPr>
            <w:tcW w:w="1159" w:type="pct"/>
            <w:gridSpan w:val="2"/>
            <w:shd w:val="clear" w:color="auto" w:fill="FFFFFF"/>
            <w:vAlign w:val="center"/>
          </w:tcPr>
          <w:p w14:paraId="3EF97C34" w14:textId="77777777" w:rsidR="00D25D40" w:rsidRPr="00B672CA" w:rsidRDefault="00D25D40" w:rsidP="00D46460">
            <w:pPr>
              <w:pStyle w:val="Tableheading"/>
            </w:pPr>
            <w:r w:rsidRPr="00B672CA">
              <w:t>(in $)</w:t>
            </w:r>
          </w:p>
        </w:tc>
      </w:tr>
      <w:tr w:rsidR="00D25D40" w:rsidRPr="00B672CA" w14:paraId="2384697F" w14:textId="77777777" w:rsidTr="00696322">
        <w:trPr>
          <w:trHeight w:val="135"/>
          <w:jc w:val="center"/>
        </w:trPr>
        <w:tc>
          <w:tcPr>
            <w:tcW w:w="1898" w:type="pct"/>
            <w:vMerge/>
            <w:shd w:val="clear" w:color="auto" w:fill="FFFFFF"/>
            <w:vAlign w:val="center"/>
          </w:tcPr>
          <w:p w14:paraId="28CDA357" w14:textId="77777777" w:rsidR="00D25D40" w:rsidRPr="00B672CA" w:rsidRDefault="00D25D40" w:rsidP="00D46460">
            <w:pPr>
              <w:pStyle w:val="Tableheading"/>
            </w:pPr>
          </w:p>
        </w:tc>
        <w:tc>
          <w:tcPr>
            <w:tcW w:w="1552" w:type="pct"/>
            <w:vMerge/>
            <w:shd w:val="clear" w:color="auto" w:fill="FFFFFF"/>
            <w:vAlign w:val="center"/>
          </w:tcPr>
          <w:p w14:paraId="74000516" w14:textId="77777777" w:rsidR="00D25D40" w:rsidRPr="00B672CA" w:rsidRDefault="00D25D40" w:rsidP="00D46460">
            <w:pPr>
              <w:pStyle w:val="Tableheading"/>
            </w:pPr>
          </w:p>
        </w:tc>
        <w:tc>
          <w:tcPr>
            <w:tcW w:w="391" w:type="pct"/>
            <w:vMerge/>
            <w:shd w:val="clear" w:color="auto" w:fill="FFFFFF"/>
          </w:tcPr>
          <w:p w14:paraId="3FD01DF2" w14:textId="77777777" w:rsidR="00D25D40" w:rsidRPr="00B672CA" w:rsidRDefault="00D25D40" w:rsidP="00D46460">
            <w:pPr>
              <w:pStyle w:val="Tableheading"/>
            </w:pPr>
          </w:p>
        </w:tc>
        <w:tc>
          <w:tcPr>
            <w:tcW w:w="619" w:type="pct"/>
            <w:shd w:val="clear" w:color="auto" w:fill="FFFFFF"/>
            <w:vAlign w:val="center"/>
          </w:tcPr>
          <w:p w14:paraId="2E19979E" w14:textId="77777777" w:rsidR="00D25D40" w:rsidRPr="00B672CA" w:rsidRDefault="00D25D40" w:rsidP="00D46460">
            <w:pPr>
              <w:pStyle w:val="Tableheading"/>
            </w:pPr>
            <w:r w:rsidRPr="00B672CA">
              <w:t>GEF Project Financing</w:t>
            </w:r>
          </w:p>
        </w:tc>
        <w:tc>
          <w:tcPr>
            <w:tcW w:w="540" w:type="pct"/>
            <w:shd w:val="clear" w:color="auto" w:fill="FFFFFF"/>
          </w:tcPr>
          <w:p w14:paraId="26DA65E9" w14:textId="77777777" w:rsidR="00D25D40" w:rsidRPr="00B672CA" w:rsidRDefault="00D25D40" w:rsidP="00D46460">
            <w:pPr>
              <w:pStyle w:val="Tableheading"/>
            </w:pPr>
            <w:r w:rsidRPr="00B672CA">
              <w:t>Co-financing</w:t>
            </w:r>
          </w:p>
        </w:tc>
      </w:tr>
      <w:tr w:rsidR="00D25D40" w:rsidRPr="00B672CA" w14:paraId="2FAB28A5" w14:textId="77777777" w:rsidTr="00696322">
        <w:trPr>
          <w:jc w:val="center"/>
        </w:trPr>
        <w:tc>
          <w:tcPr>
            <w:tcW w:w="1898" w:type="pct"/>
            <w:shd w:val="clear" w:color="auto" w:fill="FFFFFF"/>
          </w:tcPr>
          <w:p w14:paraId="29CFFC6A" w14:textId="77777777" w:rsidR="00D25D40" w:rsidRPr="00B672CA" w:rsidRDefault="00D25D40" w:rsidP="00371C61">
            <w:pPr>
              <w:pStyle w:val="Tabletext"/>
              <w:rPr>
                <w:rFonts w:eastAsia="Times New Roman"/>
              </w:rPr>
            </w:pPr>
            <w:r w:rsidRPr="00B672CA">
              <w:fldChar w:fldCharType="begin">
                <w:ffData>
                  <w:name w:val="focalAreaObj_01"/>
                  <w:enabled/>
                  <w:calcOnExit w:val="0"/>
                  <w:ddList>
                    <w:result w:val="15"/>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 w:name="focalAreaObj_01"/>
            <w:r w:rsidRPr="00B672CA">
              <w:instrText xml:space="preserve"> FORMDROPDOWN </w:instrText>
            </w:r>
            <w:r w:rsidR="0004701D">
              <w:fldChar w:fldCharType="separate"/>
            </w:r>
            <w:r w:rsidRPr="00B672CA">
              <w:fldChar w:fldCharType="end"/>
            </w:r>
            <w:bookmarkEnd w:id="6"/>
            <w:r w:rsidRPr="00B672CA">
              <w:t xml:space="preserve"> (Scaling-up sustainable land management through the Landscape Approach)</w:t>
            </w:r>
          </w:p>
        </w:tc>
        <w:tc>
          <w:tcPr>
            <w:tcW w:w="1552" w:type="pct"/>
            <w:shd w:val="clear" w:color="auto" w:fill="FFFFFF"/>
          </w:tcPr>
          <w:p w14:paraId="2B1328BB" w14:textId="77777777" w:rsidR="00D25D40" w:rsidRPr="00B672CA" w:rsidRDefault="00D25D40" w:rsidP="00371C61">
            <w:pPr>
              <w:pStyle w:val="Tabletext"/>
              <w:rPr>
                <w:rFonts w:eastAsia="Times New Roman"/>
              </w:rPr>
            </w:pPr>
            <w:r w:rsidRPr="00B672CA">
              <w:t>Outcome 3.3: Increased investments in integrated landscape management</w:t>
            </w:r>
          </w:p>
        </w:tc>
        <w:tc>
          <w:tcPr>
            <w:tcW w:w="391" w:type="pct"/>
            <w:shd w:val="clear" w:color="auto" w:fill="FFFFFF"/>
          </w:tcPr>
          <w:p w14:paraId="190E4695" w14:textId="77777777" w:rsidR="00D25D40" w:rsidRPr="00B672CA" w:rsidRDefault="00D25D40" w:rsidP="00371C61">
            <w:pPr>
              <w:pStyle w:val="Tabletext"/>
              <w:rPr>
                <w:rFonts w:eastAsia="Times New Roman"/>
              </w:rPr>
            </w:pPr>
            <w:r w:rsidRPr="00B672CA">
              <w:fldChar w:fldCharType="begin">
                <w:ffData>
                  <w:name w:val="A_TF_01"/>
                  <w:enabled/>
                  <w:calcOnExit w:val="0"/>
                  <w:ddList>
                    <w:result w:val="1"/>
                    <w:listEntry w:val="(select)"/>
                    <w:listEntry w:val="GEFTF"/>
                    <w:listEntry w:val="LDCF"/>
                    <w:listEntry w:val="SCCF-A"/>
                    <w:listEntry w:val="SCCF-B"/>
                    <w:listEntry w:val="CBIT"/>
                  </w:ddList>
                </w:ffData>
              </w:fldChar>
            </w:r>
            <w:bookmarkStart w:id="7" w:name="A_TF_01"/>
            <w:r w:rsidRPr="00B672CA">
              <w:instrText xml:space="preserve"> FORMDROPDOWN </w:instrText>
            </w:r>
            <w:r w:rsidR="0004701D">
              <w:fldChar w:fldCharType="separate"/>
            </w:r>
            <w:r w:rsidRPr="00B672CA">
              <w:fldChar w:fldCharType="end"/>
            </w:r>
            <w:bookmarkEnd w:id="7"/>
          </w:p>
        </w:tc>
        <w:tc>
          <w:tcPr>
            <w:tcW w:w="619" w:type="pct"/>
            <w:shd w:val="clear" w:color="auto" w:fill="FFFFFF"/>
          </w:tcPr>
          <w:p w14:paraId="53B681E4" w14:textId="77777777" w:rsidR="00D25D40" w:rsidRPr="00B672CA" w:rsidRDefault="00D25D40" w:rsidP="00371C61">
            <w:pPr>
              <w:pStyle w:val="Tabletext"/>
            </w:pPr>
            <w:r w:rsidRPr="00B672CA">
              <w:t>2,000,000</w:t>
            </w:r>
          </w:p>
        </w:tc>
        <w:tc>
          <w:tcPr>
            <w:tcW w:w="540" w:type="pct"/>
            <w:shd w:val="clear" w:color="auto" w:fill="FFFFFF"/>
          </w:tcPr>
          <w:p w14:paraId="1BA1F7C6" w14:textId="70DC04DA" w:rsidR="00D25D40"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r w:rsidR="00D25D40" w:rsidRPr="00B672CA" w14:paraId="3CBD6F83" w14:textId="77777777" w:rsidTr="00696322">
        <w:trPr>
          <w:jc w:val="center"/>
        </w:trPr>
        <w:tc>
          <w:tcPr>
            <w:tcW w:w="3450" w:type="pct"/>
            <w:gridSpan w:val="2"/>
            <w:tcBorders>
              <w:top w:val="double" w:sz="4" w:space="0" w:color="auto"/>
              <w:bottom w:val="double" w:sz="4" w:space="0" w:color="auto"/>
            </w:tcBorders>
            <w:shd w:val="clear" w:color="auto" w:fill="FFFFFF"/>
          </w:tcPr>
          <w:p w14:paraId="544300E1" w14:textId="77777777" w:rsidR="00D25D40" w:rsidRPr="00B672CA" w:rsidRDefault="00D25D40" w:rsidP="00371C61">
            <w:pPr>
              <w:pStyle w:val="Tabletext"/>
            </w:pPr>
            <w:r w:rsidRPr="00B672CA">
              <w:t>Total project costs</w:t>
            </w:r>
          </w:p>
        </w:tc>
        <w:tc>
          <w:tcPr>
            <w:tcW w:w="391" w:type="pct"/>
            <w:tcBorders>
              <w:top w:val="double" w:sz="4" w:space="0" w:color="auto"/>
              <w:bottom w:val="double" w:sz="4" w:space="0" w:color="auto"/>
            </w:tcBorders>
            <w:shd w:val="clear" w:color="auto" w:fill="FFFFFF"/>
          </w:tcPr>
          <w:p w14:paraId="2985A7C2" w14:textId="77777777" w:rsidR="00D25D40" w:rsidRPr="00B672CA" w:rsidRDefault="00D25D40" w:rsidP="00371C61">
            <w:pPr>
              <w:pStyle w:val="Tabletext"/>
            </w:pPr>
          </w:p>
        </w:tc>
        <w:tc>
          <w:tcPr>
            <w:tcW w:w="619" w:type="pct"/>
            <w:tcBorders>
              <w:top w:val="double" w:sz="4" w:space="0" w:color="auto"/>
              <w:bottom w:val="double" w:sz="4" w:space="0" w:color="auto"/>
            </w:tcBorders>
            <w:shd w:val="clear" w:color="auto" w:fill="FFFFFF"/>
          </w:tcPr>
          <w:p w14:paraId="07818629" w14:textId="77777777" w:rsidR="00D25D40" w:rsidRPr="00B672CA" w:rsidRDefault="00D25D40" w:rsidP="00371C61">
            <w:pPr>
              <w:pStyle w:val="Tabletext"/>
            </w:pPr>
            <w:r w:rsidRPr="00B672CA">
              <w:t>2,000,000</w:t>
            </w:r>
          </w:p>
        </w:tc>
        <w:tc>
          <w:tcPr>
            <w:tcW w:w="540" w:type="pct"/>
            <w:tcBorders>
              <w:top w:val="double" w:sz="4" w:space="0" w:color="auto"/>
              <w:bottom w:val="double" w:sz="4" w:space="0" w:color="auto"/>
            </w:tcBorders>
            <w:shd w:val="clear" w:color="auto" w:fill="FFFFFF"/>
          </w:tcPr>
          <w:p w14:paraId="0F048DB7" w14:textId="072164EA" w:rsidR="00D25D40"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bl>
    <w:p w14:paraId="4A6BB9C0" w14:textId="77777777" w:rsidR="00D25D40" w:rsidRPr="00B672CA" w:rsidRDefault="00D25D40" w:rsidP="00D25D40">
      <w:pPr>
        <w:numPr>
          <w:ilvl w:val="0"/>
          <w:numId w:val="1"/>
        </w:numPr>
        <w:tabs>
          <w:tab w:val="left" w:pos="360"/>
        </w:tabs>
        <w:spacing w:before="240" w:after="80" w:line="240" w:lineRule="auto"/>
        <w:rPr>
          <w:rFonts w:ascii="Times New Roman" w:eastAsia="Times New Roman" w:hAnsi="Times New Roman"/>
          <w:b/>
          <w:smallCaps/>
          <w:color w:val="000000"/>
          <w:lang w:eastAsia="x-none"/>
        </w:rPr>
      </w:pPr>
      <w:r w:rsidRPr="00B672CA">
        <w:rPr>
          <w:rFonts w:ascii="Times New Roman" w:hAnsi="Times New Roman"/>
          <w:b/>
          <w:smallCaps/>
          <w:color w:val="000000"/>
        </w:rPr>
        <w:t>Project description summary</w:t>
      </w:r>
      <w:r w:rsidRPr="00B672CA">
        <w:rPr>
          <w:b/>
          <w:smallCaps/>
          <w:color w:val="000000"/>
          <w:lang w:eastAsia="zh-CN"/>
        </w:rPr>
        <w:t xml:space="preserve"> </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0727"/>
      </w:tblGrid>
      <w:tr w:rsidR="00D25D40" w:rsidRPr="00B672CA" w14:paraId="2208AD6C" w14:textId="77777777" w:rsidTr="00696322">
        <w:trPr>
          <w:trHeight w:val="260"/>
          <w:jc w:val="center"/>
        </w:trPr>
        <w:tc>
          <w:tcPr>
            <w:tcW w:w="5000" w:type="pct"/>
            <w:shd w:val="clear" w:color="auto" w:fill="FFFFFF"/>
          </w:tcPr>
          <w:p w14:paraId="21C1C754" w14:textId="6E06115F" w:rsidR="00D25D40" w:rsidRPr="00B672CA" w:rsidRDefault="00D25D40" w:rsidP="00D46460">
            <w:pPr>
              <w:pStyle w:val="Tableheading"/>
            </w:pPr>
            <w:r w:rsidRPr="00B672CA">
              <w:t>Project Objective: To maintain</w:t>
            </w:r>
            <w:r w:rsidR="00696322" w:rsidRPr="00B672CA">
              <w:t>, restore</w:t>
            </w:r>
            <w:r w:rsidRPr="00B672CA">
              <w:t xml:space="preserve"> or increase forest cover</w:t>
            </w:r>
            <w:r w:rsidR="00700256" w:rsidRPr="00B672CA">
              <w:rPr>
                <w:rStyle w:val="FootnoteReference"/>
                <w:b w:val="0"/>
                <w:lang w:val="en-US"/>
              </w:rPr>
              <w:footnoteReference w:id="4"/>
            </w:r>
            <w:r w:rsidR="00696322" w:rsidRPr="00B672CA">
              <w:t xml:space="preserve"> while</w:t>
            </w:r>
            <w:r w:rsidRPr="00B672CA">
              <w:t xml:space="preserve"> </w:t>
            </w:r>
            <w:r w:rsidR="00D66E0E" w:rsidRPr="00B672CA">
              <w:t>intensifying</w:t>
            </w:r>
            <w:r w:rsidRPr="00B672CA">
              <w:t xml:space="preserve"> agricultural production</w:t>
            </w:r>
            <w:r w:rsidR="00086817" w:rsidRPr="00B672CA">
              <w:t xml:space="preserve"> and </w:t>
            </w:r>
            <w:r w:rsidRPr="00B672CA">
              <w:t>improv</w:t>
            </w:r>
            <w:r w:rsidR="00696322" w:rsidRPr="00B672CA">
              <w:t>ing</w:t>
            </w:r>
            <w:r w:rsidRPr="00B672CA">
              <w:t xml:space="preserve"> the livelihoods of smallholders through piloting the de-risking</w:t>
            </w:r>
            <w:r w:rsidRPr="00B672CA">
              <w:rPr>
                <w:rStyle w:val="FootnoteReference"/>
                <w:b w:val="0"/>
                <w:lang w:val="en-US"/>
              </w:rPr>
              <w:footnoteReference w:id="5"/>
            </w:r>
            <w:r w:rsidRPr="00B672CA">
              <w:t xml:space="preserve"> of </w:t>
            </w:r>
            <w:r w:rsidR="00696322" w:rsidRPr="00B672CA">
              <w:t>private finance</w:t>
            </w:r>
            <w:r w:rsidRPr="00B672CA">
              <w:t xml:space="preserve"> in sustainable landscapes in seven target landscapes in Brazil, Indonesia, and Liberia</w:t>
            </w:r>
          </w:p>
        </w:tc>
      </w:tr>
    </w:tbl>
    <w:p w14:paraId="41F1BBC9" w14:textId="77777777" w:rsidR="00D25D40" w:rsidRPr="00B672CA" w:rsidRDefault="00D25D40" w:rsidP="00D25D40">
      <w:pPr>
        <w:pStyle w:val="Caption"/>
        <w:rPr>
          <w:rStyle w:val="Strong"/>
          <w:sz w:val="8"/>
          <w:szCs w:val="16"/>
        </w:rPr>
      </w:pPr>
    </w:p>
    <w:tbl>
      <w:tblPr>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17"/>
        <w:gridCol w:w="1079"/>
        <w:gridCol w:w="2176"/>
        <w:gridCol w:w="2697"/>
        <w:gridCol w:w="807"/>
        <w:gridCol w:w="1130"/>
        <w:gridCol w:w="1158"/>
      </w:tblGrid>
      <w:tr w:rsidR="00D25D40" w:rsidRPr="00B672CA" w14:paraId="350318FF" w14:textId="77777777" w:rsidTr="004C5FD8">
        <w:trPr>
          <w:trHeight w:val="197"/>
          <w:tblHeader/>
          <w:jc w:val="center"/>
        </w:trPr>
        <w:tc>
          <w:tcPr>
            <w:tcW w:w="797" w:type="pct"/>
            <w:vMerge w:val="restart"/>
            <w:shd w:val="clear" w:color="auto" w:fill="FFFFFF"/>
          </w:tcPr>
          <w:p w14:paraId="71BDE6A8" w14:textId="77777777" w:rsidR="00D25D40" w:rsidRPr="00B672CA" w:rsidRDefault="00D25D40" w:rsidP="00D46460">
            <w:pPr>
              <w:pStyle w:val="Tableheading"/>
            </w:pPr>
            <w:r w:rsidRPr="00B672CA">
              <w:t>Project Components</w:t>
            </w:r>
          </w:p>
        </w:tc>
        <w:tc>
          <w:tcPr>
            <w:tcW w:w="501" w:type="pct"/>
            <w:vMerge w:val="restart"/>
            <w:shd w:val="clear" w:color="auto" w:fill="FFFFFF"/>
          </w:tcPr>
          <w:p w14:paraId="1D46B6AA" w14:textId="03F800E5" w:rsidR="00D25D40" w:rsidRPr="00B672CA" w:rsidRDefault="00D25D40" w:rsidP="00D46460">
            <w:pPr>
              <w:pStyle w:val="Tableheading"/>
            </w:pPr>
            <w:r w:rsidRPr="00B672CA">
              <w:t>Financing Type</w:t>
            </w:r>
          </w:p>
        </w:tc>
        <w:tc>
          <w:tcPr>
            <w:tcW w:w="1011" w:type="pct"/>
            <w:vMerge w:val="restart"/>
            <w:shd w:val="clear" w:color="auto" w:fill="FFFFFF"/>
          </w:tcPr>
          <w:p w14:paraId="3CDA6682" w14:textId="77777777" w:rsidR="00D25D40" w:rsidRPr="00B672CA" w:rsidRDefault="00D25D40" w:rsidP="00D46460">
            <w:pPr>
              <w:pStyle w:val="Tableheading"/>
            </w:pPr>
            <w:r w:rsidRPr="00B672CA">
              <w:t>Project Outcomes</w:t>
            </w:r>
          </w:p>
        </w:tc>
        <w:tc>
          <w:tcPr>
            <w:tcW w:w="1253" w:type="pct"/>
            <w:vMerge w:val="restart"/>
            <w:shd w:val="clear" w:color="auto" w:fill="FFFFFF"/>
          </w:tcPr>
          <w:p w14:paraId="219B5F65" w14:textId="77777777" w:rsidR="00D25D40" w:rsidRPr="00B672CA" w:rsidRDefault="00D25D40" w:rsidP="00D46460">
            <w:pPr>
              <w:pStyle w:val="Tableheading"/>
            </w:pPr>
            <w:r w:rsidRPr="00B672CA">
              <w:t>Project Outputs</w:t>
            </w:r>
          </w:p>
        </w:tc>
        <w:tc>
          <w:tcPr>
            <w:tcW w:w="375" w:type="pct"/>
            <w:vMerge w:val="restart"/>
            <w:shd w:val="clear" w:color="auto" w:fill="FFFFFF"/>
          </w:tcPr>
          <w:p w14:paraId="60A77B2F" w14:textId="77777777" w:rsidR="00D25D40" w:rsidRPr="00B672CA" w:rsidRDefault="00D25D40" w:rsidP="00D46460">
            <w:pPr>
              <w:pStyle w:val="Tableheading"/>
            </w:pPr>
            <w:r w:rsidRPr="00B672CA">
              <w:t>Trust Fund</w:t>
            </w:r>
          </w:p>
        </w:tc>
        <w:tc>
          <w:tcPr>
            <w:tcW w:w="1063" w:type="pct"/>
            <w:gridSpan w:val="2"/>
            <w:shd w:val="clear" w:color="auto" w:fill="FFFFFF"/>
          </w:tcPr>
          <w:p w14:paraId="142D9D95" w14:textId="77777777" w:rsidR="00D25D40" w:rsidRPr="00B672CA" w:rsidRDefault="00D25D40" w:rsidP="00D46460">
            <w:pPr>
              <w:pStyle w:val="Tableheading"/>
            </w:pPr>
            <w:r w:rsidRPr="00B672CA">
              <w:t>(in $)</w:t>
            </w:r>
          </w:p>
        </w:tc>
      </w:tr>
      <w:tr w:rsidR="004C5FD8" w:rsidRPr="00B672CA" w14:paraId="6B0F720B" w14:textId="77777777" w:rsidTr="004C5FD8">
        <w:trPr>
          <w:trHeight w:val="120"/>
          <w:tblHeader/>
          <w:jc w:val="center"/>
        </w:trPr>
        <w:tc>
          <w:tcPr>
            <w:tcW w:w="797" w:type="pct"/>
            <w:vMerge/>
            <w:shd w:val="clear" w:color="auto" w:fill="FFFFFF"/>
          </w:tcPr>
          <w:p w14:paraId="52E2CD7F" w14:textId="77777777" w:rsidR="00D25D40" w:rsidRPr="00B672CA" w:rsidRDefault="00D25D40" w:rsidP="00D46460">
            <w:pPr>
              <w:pStyle w:val="Tableheading"/>
            </w:pPr>
          </w:p>
        </w:tc>
        <w:tc>
          <w:tcPr>
            <w:tcW w:w="501" w:type="pct"/>
            <w:vMerge/>
            <w:shd w:val="clear" w:color="auto" w:fill="FFFFFF"/>
          </w:tcPr>
          <w:p w14:paraId="61F25953" w14:textId="77777777" w:rsidR="00D25D40" w:rsidRPr="00B672CA" w:rsidRDefault="00D25D40" w:rsidP="00D46460">
            <w:pPr>
              <w:pStyle w:val="Tableheading"/>
            </w:pPr>
          </w:p>
        </w:tc>
        <w:tc>
          <w:tcPr>
            <w:tcW w:w="1011" w:type="pct"/>
            <w:vMerge/>
            <w:shd w:val="clear" w:color="auto" w:fill="FFFFFF"/>
          </w:tcPr>
          <w:p w14:paraId="2959BD57" w14:textId="77777777" w:rsidR="00D25D40" w:rsidRPr="00B672CA" w:rsidRDefault="00D25D40" w:rsidP="00D46460">
            <w:pPr>
              <w:pStyle w:val="Tableheading"/>
            </w:pPr>
          </w:p>
        </w:tc>
        <w:tc>
          <w:tcPr>
            <w:tcW w:w="1253" w:type="pct"/>
            <w:vMerge/>
            <w:shd w:val="clear" w:color="auto" w:fill="FFFFFF"/>
          </w:tcPr>
          <w:p w14:paraId="72C17391" w14:textId="77777777" w:rsidR="00D25D40" w:rsidRPr="00B672CA" w:rsidRDefault="00D25D40" w:rsidP="00D46460">
            <w:pPr>
              <w:pStyle w:val="Tableheading"/>
            </w:pPr>
          </w:p>
        </w:tc>
        <w:tc>
          <w:tcPr>
            <w:tcW w:w="375" w:type="pct"/>
            <w:vMerge/>
            <w:shd w:val="clear" w:color="auto" w:fill="FFFFFF"/>
          </w:tcPr>
          <w:p w14:paraId="027B6E07" w14:textId="77777777" w:rsidR="00D25D40" w:rsidRPr="00B672CA" w:rsidRDefault="00D25D40" w:rsidP="00D46460">
            <w:pPr>
              <w:pStyle w:val="Tableheading"/>
            </w:pPr>
          </w:p>
        </w:tc>
        <w:tc>
          <w:tcPr>
            <w:tcW w:w="525" w:type="pct"/>
            <w:shd w:val="clear" w:color="auto" w:fill="FFFFFF"/>
          </w:tcPr>
          <w:p w14:paraId="5438A8D5" w14:textId="77777777" w:rsidR="00D25D40" w:rsidRPr="00B672CA" w:rsidRDefault="00D25D40" w:rsidP="00D46460">
            <w:pPr>
              <w:pStyle w:val="Tableheading"/>
            </w:pPr>
            <w:r w:rsidRPr="00B672CA">
              <w:t>GEF Project Financing</w:t>
            </w:r>
          </w:p>
        </w:tc>
        <w:tc>
          <w:tcPr>
            <w:tcW w:w="537" w:type="pct"/>
            <w:shd w:val="clear" w:color="auto" w:fill="FFFFFF"/>
          </w:tcPr>
          <w:p w14:paraId="1CB1C641" w14:textId="77777777" w:rsidR="00D25D40" w:rsidRPr="00B672CA" w:rsidRDefault="00D25D40" w:rsidP="00D46460">
            <w:pPr>
              <w:pStyle w:val="Tableheading"/>
            </w:pPr>
            <w:r w:rsidRPr="00B672CA">
              <w:t>Confirmed Co-financing</w:t>
            </w:r>
          </w:p>
        </w:tc>
      </w:tr>
      <w:tr w:rsidR="004C5FD8" w:rsidRPr="00B672CA" w14:paraId="6012496B" w14:textId="77777777" w:rsidTr="004C5FD8">
        <w:trPr>
          <w:jc w:val="center"/>
        </w:trPr>
        <w:tc>
          <w:tcPr>
            <w:tcW w:w="797" w:type="pct"/>
            <w:shd w:val="clear" w:color="auto" w:fill="FFFFFF"/>
          </w:tcPr>
          <w:p w14:paraId="4A97064F" w14:textId="61BEE8E2" w:rsidR="00D25D40" w:rsidRPr="00B672CA" w:rsidRDefault="00D25D40" w:rsidP="00371C61">
            <w:pPr>
              <w:pStyle w:val="Tabletext"/>
            </w:pPr>
            <w:r w:rsidRPr="00B672CA">
              <w:t xml:space="preserve">De-risking commercial financing of deforestation-free </w:t>
            </w:r>
            <w:r w:rsidR="008144CD" w:rsidRPr="00B672CA">
              <w:t>agricultural production</w:t>
            </w:r>
          </w:p>
        </w:tc>
        <w:bookmarkStart w:id="8" w:name="GrantType_01"/>
        <w:tc>
          <w:tcPr>
            <w:tcW w:w="501" w:type="pct"/>
            <w:shd w:val="clear" w:color="auto" w:fill="FFFFFF"/>
          </w:tcPr>
          <w:p w14:paraId="1ED9D759" w14:textId="47AE385A" w:rsidR="00D25D40" w:rsidRPr="00B672CA" w:rsidRDefault="00D25D40" w:rsidP="00371C61">
            <w:pPr>
              <w:pStyle w:val="Tabletext"/>
            </w:pPr>
            <w:r w:rsidRPr="00B672CA">
              <w:fldChar w:fldCharType="begin">
                <w:ffData>
                  <w:name w:val="GrantType_01"/>
                  <w:enabled/>
                  <w:calcOnExit w:val="0"/>
                  <w:ddList>
                    <w:result w:val="2"/>
                    <w:listEntry w:val="(select)"/>
                    <w:listEntry w:val="TA"/>
                    <w:listEntry w:val="Inv"/>
                  </w:ddList>
                </w:ffData>
              </w:fldChar>
            </w:r>
            <w:r w:rsidRPr="00B672CA">
              <w:instrText xml:space="preserve"> FORMDROPDOWN </w:instrText>
            </w:r>
            <w:r w:rsidR="0004701D">
              <w:fldChar w:fldCharType="separate"/>
            </w:r>
            <w:r w:rsidRPr="00B672CA">
              <w:fldChar w:fldCharType="end"/>
            </w:r>
            <w:bookmarkEnd w:id="8"/>
          </w:p>
        </w:tc>
        <w:tc>
          <w:tcPr>
            <w:tcW w:w="1011" w:type="pct"/>
            <w:shd w:val="clear" w:color="auto" w:fill="FFFFFF"/>
          </w:tcPr>
          <w:p w14:paraId="41781757" w14:textId="3D4866BC" w:rsidR="005C59F3" w:rsidRPr="00B672CA" w:rsidRDefault="005C59F3" w:rsidP="00371C61">
            <w:pPr>
              <w:pStyle w:val="Tabletext"/>
            </w:pPr>
            <w:bookmarkStart w:id="9" w:name="ExpectedOutCome_01"/>
            <w:r w:rsidRPr="00B672CA">
              <w:t xml:space="preserve">Private finance leveraged on a 5:1 ratio as a result of the de-risking funding provided by the </w:t>
            </w:r>
            <w:r w:rsidR="00005AAD" w:rsidRPr="00B672CA">
              <w:t>&amp;Green Fund</w:t>
            </w:r>
            <w:r w:rsidRPr="00B672CA">
              <w:t xml:space="preserve"> in the seven landscapes (across 3 countries: Indonesia, Liberia and Brazil</w:t>
            </w:r>
          </w:p>
          <w:p w14:paraId="6AD97FEF" w14:textId="77777777" w:rsidR="005C59F3" w:rsidRPr="00B672CA" w:rsidRDefault="005C59F3" w:rsidP="00371C61">
            <w:pPr>
              <w:pStyle w:val="Tabletext"/>
            </w:pPr>
            <w:r w:rsidRPr="00B672CA">
              <w:t>Targets</w:t>
            </w:r>
          </w:p>
          <w:p w14:paraId="26273239" w14:textId="25773FDB" w:rsidR="00D25D40" w:rsidRPr="00B672CA" w:rsidRDefault="00D25D40" w:rsidP="00371C61">
            <w:pPr>
              <w:pStyle w:val="Tabletext"/>
            </w:pPr>
            <w:r w:rsidRPr="00B672CA">
              <w:t xml:space="preserve">- Private financing </w:t>
            </w:r>
            <w:r w:rsidRPr="00B672CA">
              <w:lastRenderedPageBreak/>
              <w:t xml:space="preserve">leveraged in a </w:t>
            </w:r>
            <w:r w:rsidR="00E560B7" w:rsidRPr="00B672CA">
              <w:t>5</w:t>
            </w:r>
            <w:r w:rsidRPr="00B672CA">
              <w:t>:1 ratio</w:t>
            </w:r>
            <w:r w:rsidR="00E560B7" w:rsidRPr="00B672CA">
              <w:rPr>
                <w:rStyle w:val="FootnoteReference"/>
                <w:lang w:val="en-US"/>
              </w:rPr>
              <w:footnoteReference w:id="6"/>
            </w:r>
          </w:p>
          <w:p w14:paraId="48BE73B9" w14:textId="0D49DE73" w:rsidR="00D25D40" w:rsidRPr="00B672CA" w:rsidRDefault="00D25D40" w:rsidP="00371C61">
            <w:pPr>
              <w:pStyle w:val="Tabletext"/>
            </w:pPr>
            <w:r w:rsidRPr="00B672CA">
              <w:t>- Forest cover is maintained at 25</w:t>
            </w:r>
            <w:r w:rsidR="00BF30E2" w:rsidRPr="00B672CA">
              <w:t>8</w:t>
            </w:r>
            <w:r w:rsidRPr="00B672CA">
              <w:t>,000 ha</w:t>
            </w:r>
          </w:p>
          <w:p w14:paraId="02ABBFF1" w14:textId="693AE4C7" w:rsidR="00D25D40" w:rsidRPr="00B672CA" w:rsidRDefault="00D25D40" w:rsidP="00371C61">
            <w:pPr>
              <w:pStyle w:val="Tabletext"/>
            </w:pPr>
            <w:r w:rsidRPr="00B672CA">
              <w:t xml:space="preserve">- Sustainable agricultural production is realized at </w:t>
            </w:r>
            <w:r w:rsidR="00BF30E2" w:rsidRPr="00B672CA">
              <w:t>1</w:t>
            </w:r>
            <w:r w:rsidRPr="00B672CA">
              <w:t>8</w:t>
            </w:r>
            <w:r w:rsidR="00BF30E2" w:rsidRPr="00B672CA">
              <w:t>6</w:t>
            </w:r>
            <w:r w:rsidRPr="00B672CA">
              <w:t>,000 ha</w:t>
            </w:r>
            <w:bookmarkEnd w:id="9"/>
          </w:p>
          <w:p w14:paraId="42F85F6F" w14:textId="77777777" w:rsidR="004C5FD8" w:rsidRPr="00B672CA" w:rsidRDefault="004C5FD8" w:rsidP="00371C61">
            <w:pPr>
              <w:pStyle w:val="Tabletext"/>
            </w:pPr>
            <w:r w:rsidRPr="00B672CA">
              <w:t>- Deforestation is avoided at 180,000 ha</w:t>
            </w:r>
          </w:p>
          <w:p w14:paraId="11EF3BBF" w14:textId="4D71F1E7" w:rsidR="00D25D40" w:rsidRPr="00B672CA" w:rsidRDefault="004C5FD8" w:rsidP="00371C61">
            <w:pPr>
              <w:pStyle w:val="Tabletext"/>
            </w:pPr>
            <w:r w:rsidRPr="00B672CA">
              <w:t xml:space="preserve"> </w:t>
            </w:r>
            <w:r w:rsidR="00D25D40" w:rsidRPr="00B672CA">
              <w:t>(Note: These are the combined outcomes of the GEF and co-financing resources)</w:t>
            </w:r>
          </w:p>
        </w:tc>
        <w:tc>
          <w:tcPr>
            <w:tcW w:w="1253" w:type="pct"/>
            <w:shd w:val="clear" w:color="auto" w:fill="FFFFFF"/>
          </w:tcPr>
          <w:p w14:paraId="0C693A88" w14:textId="04125D56" w:rsidR="00B86CF7" w:rsidRPr="00280BF9" w:rsidRDefault="00B86CF7" w:rsidP="00371C61">
            <w:pPr>
              <w:pStyle w:val="Tabletext"/>
            </w:pPr>
            <w:r w:rsidRPr="00280BF9">
              <w:lastRenderedPageBreak/>
              <w:t>1.1 Investment pipeline developed to create proof-of-concept on solutions contributing to production, protection, and inclusion targets established under NICFI-IDH Partnership Program.</w:t>
            </w:r>
          </w:p>
          <w:p w14:paraId="21D3D4E6" w14:textId="1C6C3B0B" w:rsidR="00D25D40" w:rsidRPr="00280BF9" w:rsidRDefault="00B86CF7" w:rsidP="00371C61">
            <w:pPr>
              <w:pStyle w:val="Tabletext"/>
            </w:pPr>
            <w:r w:rsidRPr="00280BF9">
              <w:t>1.2</w:t>
            </w:r>
            <w:r w:rsidR="00D25D40" w:rsidRPr="00280BF9">
              <w:t xml:space="preserve"> US$ 2</w:t>
            </w:r>
            <w:r w:rsidR="00682580" w:rsidRPr="00280BF9">
              <w:t>4</w:t>
            </w:r>
            <w:r w:rsidR="00D25D40" w:rsidRPr="00280BF9">
              <w:t xml:space="preserve"> million </w:t>
            </w:r>
            <w:r w:rsidR="00682580" w:rsidRPr="00280BF9">
              <w:t xml:space="preserve">(of which, $2 million are from GEF) </w:t>
            </w:r>
            <w:r w:rsidR="00D25D40" w:rsidRPr="00280BF9">
              <w:t xml:space="preserve">invested through the </w:t>
            </w:r>
            <w:r w:rsidR="00005AAD" w:rsidRPr="00280BF9">
              <w:t xml:space="preserve">&amp;Green </w:t>
            </w:r>
            <w:r w:rsidR="00005AAD" w:rsidRPr="00280BF9">
              <w:lastRenderedPageBreak/>
              <w:t>Fund</w:t>
            </w:r>
            <w:r w:rsidR="00086817" w:rsidRPr="00280BF9">
              <w:t xml:space="preserve"> </w:t>
            </w:r>
            <w:r w:rsidR="00682580" w:rsidRPr="00280BF9">
              <w:t xml:space="preserve">to </w:t>
            </w:r>
            <w:r w:rsidR="00D25D40" w:rsidRPr="00280BF9">
              <w:t>de-risk commercial financing of agricultural production in exchange for a</w:t>
            </w:r>
            <w:r w:rsidR="00682580" w:rsidRPr="00280BF9">
              <w:t xml:space="preserve"> landscape</w:t>
            </w:r>
            <w:r w:rsidR="00D25D40" w:rsidRPr="00280BF9">
              <w:t xml:space="preserve"> protection plan</w:t>
            </w:r>
            <w:r w:rsidR="00682580" w:rsidRPr="00280BF9">
              <w:t xml:space="preserve"> (LPP)</w:t>
            </w:r>
            <w:r w:rsidR="00FB2BA5" w:rsidRPr="00280BF9">
              <w:t xml:space="preserve"> outlining on- and off concession forest and peat protection or restoration</w:t>
            </w:r>
            <w:r w:rsidR="00D25D40" w:rsidRPr="00280BF9">
              <w:t xml:space="preserve">. </w:t>
            </w:r>
          </w:p>
          <w:p w14:paraId="1D6A74EC" w14:textId="03F6451A" w:rsidR="00D25D40" w:rsidRPr="00280BF9" w:rsidRDefault="00D25D40" w:rsidP="004041F3">
            <w:pPr>
              <w:pStyle w:val="Tabletext"/>
            </w:pPr>
            <w:r w:rsidRPr="00280BF9">
              <w:t xml:space="preserve">1.3 </w:t>
            </w:r>
            <w:r w:rsidR="004041F3" w:rsidRPr="00280BF9">
              <w:t xml:space="preserve">Negotiations with </w:t>
            </w:r>
            <w:r w:rsidRPr="00280BF9">
              <w:t>mainstream finance institutions and development finance institutions</w:t>
            </w:r>
            <w:r w:rsidR="00D33369" w:rsidRPr="00280BF9">
              <w:t xml:space="preserve"> </w:t>
            </w:r>
            <w:r w:rsidR="004041F3" w:rsidRPr="00280BF9">
              <w:t xml:space="preserve">completed to leverage non-fund capital for </w:t>
            </w:r>
            <w:r w:rsidR="00D33369" w:rsidRPr="00280BF9">
              <w:t>public good outcomes in terms of enhanced forest protection and livelihoods of local communities</w:t>
            </w:r>
            <w:r w:rsidRPr="00280BF9">
              <w:t>.</w:t>
            </w:r>
          </w:p>
          <w:p w14:paraId="18143CDB" w14:textId="77777777" w:rsidR="00D25D40" w:rsidRPr="00280BF9" w:rsidRDefault="00D25D40" w:rsidP="00371C61">
            <w:pPr>
              <w:pStyle w:val="Tabletext"/>
            </w:pPr>
            <w:r w:rsidRPr="00280BF9">
              <w:t>1.4 A system for monitoring the impact performance is created (satellite imagery, field inspections, interviews, and reports) to verify and track conservation performance.</w:t>
            </w:r>
          </w:p>
        </w:tc>
        <w:tc>
          <w:tcPr>
            <w:tcW w:w="375" w:type="pct"/>
            <w:shd w:val="clear" w:color="auto" w:fill="FFFFFF"/>
          </w:tcPr>
          <w:p w14:paraId="5B6F5D19" w14:textId="77777777" w:rsidR="00D25D40" w:rsidRPr="00B672CA" w:rsidRDefault="00D25D40" w:rsidP="00371C61">
            <w:pPr>
              <w:pStyle w:val="Tabletext"/>
            </w:pPr>
            <w:r w:rsidRPr="00B672CA">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bookmarkStart w:id="10" w:name="B_TF_01"/>
            <w:r w:rsidRPr="00B672CA">
              <w:instrText xml:space="preserve"> FORMDROPDOWN </w:instrText>
            </w:r>
            <w:r w:rsidR="0004701D">
              <w:fldChar w:fldCharType="separate"/>
            </w:r>
            <w:r w:rsidRPr="00B672CA">
              <w:fldChar w:fldCharType="end"/>
            </w:r>
            <w:bookmarkEnd w:id="10"/>
          </w:p>
        </w:tc>
        <w:tc>
          <w:tcPr>
            <w:tcW w:w="525" w:type="pct"/>
            <w:shd w:val="clear" w:color="auto" w:fill="FFFFFF"/>
          </w:tcPr>
          <w:p w14:paraId="5A53631E" w14:textId="77777777" w:rsidR="00D25D40" w:rsidRPr="00B672CA" w:rsidRDefault="00D25D40" w:rsidP="00371C61">
            <w:pPr>
              <w:pStyle w:val="Tabletext"/>
            </w:pPr>
            <w:r w:rsidRPr="00B672CA">
              <w:t>2,000,000</w:t>
            </w:r>
          </w:p>
        </w:tc>
        <w:tc>
          <w:tcPr>
            <w:tcW w:w="537" w:type="pct"/>
            <w:shd w:val="clear" w:color="auto" w:fill="FFFFFF"/>
          </w:tcPr>
          <w:p w14:paraId="4C0E6A56" w14:textId="66719336" w:rsidR="00D25D40"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r w:rsidR="00D25D40" w:rsidRPr="00B672CA" w14:paraId="70F9D888" w14:textId="77777777" w:rsidTr="004C5FD8">
        <w:trPr>
          <w:jc w:val="center"/>
        </w:trPr>
        <w:tc>
          <w:tcPr>
            <w:tcW w:w="3562" w:type="pct"/>
            <w:gridSpan w:val="4"/>
            <w:tcBorders>
              <w:bottom w:val="single" w:sz="4" w:space="0" w:color="auto"/>
            </w:tcBorders>
            <w:shd w:val="clear" w:color="auto" w:fill="FFFFFF"/>
          </w:tcPr>
          <w:p w14:paraId="38978874" w14:textId="77777777" w:rsidR="00D25D40" w:rsidRPr="00B672CA" w:rsidRDefault="00D25D40" w:rsidP="00371C61">
            <w:pPr>
              <w:pStyle w:val="Tabletext"/>
            </w:pPr>
            <w:r w:rsidRPr="00B672CA">
              <w:t>Subtotal</w:t>
            </w:r>
          </w:p>
        </w:tc>
        <w:tc>
          <w:tcPr>
            <w:tcW w:w="375" w:type="pct"/>
            <w:tcBorders>
              <w:bottom w:val="single" w:sz="4" w:space="0" w:color="auto"/>
            </w:tcBorders>
            <w:shd w:val="clear" w:color="auto" w:fill="FFFFFF"/>
          </w:tcPr>
          <w:p w14:paraId="285AAA47" w14:textId="77777777" w:rsidR="00D25D40" w:rsidRPr="00B672CA" w:rsidRDefault="00D25D40" w:rsidP="00371C61">
            <w:pPr>
              <w:pStyle w:val="Tabletext"/>
            </w:pPr>
          </w:p>
        </w:tc>
        <w:tc>
          <w:tcPr>
            <w:tcW w:w="525" w:type="pct"/>
            <w:tcBorders>
              <w:bottom w:val="single" w:sz="4" w:space="0" w:color="auto"/>
            </w:tcBorders>
            <w:shd w:val="clear" w:color="auto" w:fill="FFFFFF"/>
          </w:tcPr>
          <w:p w14:paraId="39431AFE" w14:textId="77777777" w:rsidR="00D25D40" w:rsidRPr="00B672CA" w:rsidRDefault="00D25D40" w:rsidP="00371C61">
            <w:pPr>
              <w:pStyle w:val="Tabletext"/>
            </w:pPr>
            <w:r w:rsidRPr="00B672CA">
              <w:t>2,000,000</w:t>
            </w:r>
          </w:p>
        </w:tc>
        <w:tc>
          <w:tcPr>
            <w:tcW w:w="537" w:type="pct"/>
            <w:tcBorders>
              <w:bottom w:val="single" w:sz="4" w:space="0" w:color="auto"/>
            </w:tcBorders>
            <w:shd w:val="clear" w:color="auto" w:fill="FFFFFF"/>
          </w:tcPr>
          <w:p w14:paraId="5E6F5AC3" w14:textId="372D54E3" w:rsidR="00D25D40"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r w:rsidR="00D25D40" w:rsidRPr="00B672CA" w14:paraId="32726480" w14:textId="77777777" w:rsidTr="004C5FD8">
        <w:trPr>
          <w:jc w:val="center"/>
        </w:trPr>
        <w:tc>
          <w:tcPr>
            <w:tcW w:w="3562" w:type="pct"/>
            <w:gridSpan w:val="4"/>
            <w:tcBorders>
              <w:top w:val="double" w:sz="4" w:space="0" w:color="auto"/>
              <w:left w:val="single" w:sz="4" w:space="0" w:color="auto"/>
              <w:bottom w:val="double" w:sz="4" w:space="0" w:color="auto"/>
              <w:right w:val="single" w:sz="4" w:space="0" w:color="auto"/>
            </w:tcBorders>
            <w:shd w:val="clear" w:color="auto" w:fill="FFFFFF"/>
          </w:tcPr>
          <w:p w14:paraId="3BF4D69D" w14:textId="77777777" w:rsidR="00D25D40" w:rsidRPr="00B672CA" w:rsidRDefault="00D25D40" w:rsidP="00371C61">
            <w:pPr>
              <w:pStyle w:val="Tabletext"/>
            </w:pPr>
            <w:r w:rsidRPr="00B672CA">
              <w:t>Project Management Cost (PMC)</w:t>
            </w:r>
            <w:r w:rsidRPr="00B672CA">
              <w:rPr>
                <w:vertAlign w:val="superscript"/>
              </w:rPr>
              <w:footnoteReference w:id="7"/>
            </w:r>
          </w:p>
        </w:tc>
        <w:tc>
          <w:tcPr>
            <w:tcW w:w="375" w:type="pct"/>
            <w:tcBorders>
              <w:top w:val="double" w:sz="4" w:space="0" w:color="auto"/>
              <w:left w:val="single" w:sz="4" w:space="0" w:color="auto"/>
              <w:bottom w:val="double" w:sz="4" w:space="0" w:color="auto"/>
              <w:right w:val="single" w:sz="4" w:space="0" w:color="auto"/>
            </w:tcBorders>
            <w:shd w:val="clear" w:color="auto" w:fill="FFFFFF"/>
          </w:tcPr>
          <w:p w14:paraId="3ADA0C98" w14:textId="77777777" w:rsidR="00D25D40" w:rsidRPr="00B672CA" w:rsidRDefault="00D25D40" w:rsidP="00371C61">
            <w:pPr>
              <w:pStyle w:val="Tabletext"/>
            </w:pPr>
            <w:r w:rsidRPr="00B672CA">
              <w:fldChar w:fldCharType="begin">
                <w:ffData>
                  <w:name w:val=""/>
                  <w:enabled/>
                  <w:calcOnExit w:val="0"/>
                  <w:ddList>
                    <w:result w:val="1"/>
                    <w:listEntry w:val="(select)"/>
                    <w:listEntry w:val="GEFTF"/>
                    <w:listEntry w:val="LDCF"/>
                    <w:listEntry w:val="SCCF-A"/>
                    <w:listEntry w:val="SCCF-B"/>
                    <w:listEntry w:val="CBIT"/>
                  </w:ddList>
                </w:ffData>
              </w:fldChar>
            </w:r>
            <w:r w:rsidRPr="00B672CA">
              <w:instrText xml:space="preserve"> FORMDROPDOWN </w:instrText>
            </w:r>
            <w:r w:rsidR="0004701D">
              <w:fldChar w:fldCharType="separate"/>
            </w:r>
            <w:r w:rsidRPr="00B672CA">
              <w:fldChar w:fldCharType="end"/>
            </w:r>
          </w:p>
        </w:tc>
        <w:tc>
          <w:tcPr>
            <w:tcW w:w="525" w:type="pct"/>
            <w:tcBorders>
              <w:top w:val="single" w:sz="4" w:space="0" w:color="auto"/>
              <w:bottom w:val="double" w:sz="4" w:space="0" w:color="auto"/>
              <w:right w:val="single" w:sz="4" w:space="0" w:color="auto"/>
            </w:tcBorders>
            <w:shd w:val="clear" w:color="auto" w:fill="FFFFFF"/>
          </w:tcPr>
          <w:p w14:paraId="5A21E89A" w14:textId="77777777" w:rsidR="00D25D40" w:rsidRPr="00B672CA" w:rsidRDefault="00D25D40" w:rsidP="00371C61">
            <w:pPr>
              <w:pStyle w:val="Tabletext"/>
            </w:pPr>
            <w:r w:rsidRPr="00B672CA">
              <w:t>0</w:t>
            </w:r>
          </w:p>
        </w:tc>
        <w:tc>
          <w:tcPr>
            <w:tcW w:w="537" w:type="pct"/>
            <w:tcBorders>
              <w:top w:val="single" w:sz="4" w:space="0" w:color="auto"/>
              <w:left w:val="single" w:sz="4" w:space="0" w:color="auto"/>
              <w:bottom w:val="double" w:sz="4" w:space="0" w:color="auto"/>
              <w:right w:val="single" w:sz="4" w:space="0" w:color="auto"/>
            </w:tcBorders>
            <w:shd w:val="clear" w:color="auto" w:fill="FFFFFF"/>
          </w:tcPr>
          <w:p w14:paraId="61E53D6D" w14:textId="77777777" w:rsidR="00D25D40" w:rsidRPr="00B672CA" w:rsidRDefault="00D25D40" w:rsidP="00371C61">
            <w:pPr>
              <w:pStyle w:val="Tabletext"/>
            </w:pPr>
            <w:r w:rsidRPr="00B672CA">
              <w:t>0</w:t>
            </w:r>
          </w:p>
        </w:tc>
      </w:tr>
      <w:tr w:rsidR="00D25D40" w:rsidRPr="00B672CA" w14:paraId="1E9A28A2" w14:textId="77777777" w:rsidTr="004C5FD8">
        <w:trPr>
          <w:jc w:val="center"/>
        </w:trPr>
        <w:tc>
          <w:tcPr>
            <w:tcW w:w="3562" w:type="pct"/>
            <w:gridSpan w:val="4"/>
            <w:tcBorders>
              <w:top w:val="double" w:sz="4" w:space="0" w:color="auto"/>
              <w:bottom w:val="double" w:sz="4" w:space="0" w:color="auto"/>
            </w:tcBorders>
            <w:shd w:val="clear" w:color="auto" w:fill="FFFFFF"/>
          </w:tcPr>
          <w:p w14:paraId="69865D89" w14:textId="77777777" w:rsidR="00D25D40" w:rsidRPr="00B672CA" w:rsidRDefault="00D25D40" w:rsidP="00371C61">
            <w:pPr>
              <w:pStyle w:val="Tabletext"/>
            </w:pPr>
            <w:r w:rsidRPr="00B672CA">
              <w:t>Total project costs</w:t>
            </w:r>
          </w:p>
        </w:tc>
        <w:tc>
          <w:tcPr>
            <w:tcW w:w="375" w:type="pct"/>
            <w:tcBorders>
              <w:top w:val="double" w:sz="4" w:space="0" w:color="auto"/>
              <w:bottom w:val="double" w:sz="4" w:space="0" w:color="auto"/>
            </w:tcBorders>
            <w:shd w:val="clear" w:color="auto" w:fill="FFFFFF"/>
          </w:tcPr>
          <w:p w14:paraId="62BF4535" w14:textId="77777777" w:rsidR="00D25D40" w:rsidRPr="00B672CA" w:rsidRDefault="00D25D40" w:rsidP="00371C61">
            <w:pPr>
              <w:pStyle w:val="Tabletext"/>
            </w:pPr>
          </w:p>
        </w:tc>
        <w:tc>
          <w:tcPr>
            <w:tcW w:w="525" w:type="pct"/>
            <w:tcBorders>
              <w:top w:val="double" w:sz="4" w:space="0" w:color="auto"/>
              <w:bottom w:val="double" w:sz="4" w:space="0" w:color="auto"/>
            </w:tcBorders>
            <w:shd w:val="clear" w:color="auto" w:fill="FFFFFF"/>
          </w:tcPr>
          <w:p w14:paraId="5ECEE66E" w14:textId="77777777" w:rsidR="00D25D40" w:rsidRPr="00B672CA" w:rsidRDefault="00D25D40" w:rsidP="00371C61">
            <w:pPr>
              <w:pStyle w:val="Tabletext"/>
            </w:pPr>
            <w:r w:rsidRPr="00B672CA">
              <w:t>2,000,000</w:t>
            </w:r>
          </w:p>
        </w:tc>
        <w:tc>
          <w:tcPr>
            <w:tcW w:w="537" w:type="pct"/>
            <w:tcBorders>
              <w:top w:val="double" w:sz="4" w:space="0" w:color="auto"/>
              <w:bottom w:val="double" w:sz="4" w:space="0" w:color="auto"/>
            </w:tcBorders>
            <w:shd w:val="clear" w:color="auto" w:fill="FFFFFF"/>
          </w:tcPr>
          <w:p w14:paraId="426B048B" w14:textId="3F5F876A" w:rsidR="00D25D40"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bl>
    <w:p w14:paraId="1B15840E" w14:textId="2AD5E0EC" w:rsidR="00D25D40" w:rsidRPr="00B672CA" w:rsidRDefault="00D25D40" w:rsidP="00D25D40">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eastAsia="x-none"/>
        </w:rPr>
      </w:pPr>
      <w:r w:rsidRPr="00B672CA">
        <w:rPr>
          <w:rFonts w:ascii="Times New Roman" w:eastAsia="Times New Roman" w:hAnsi="Times New Roman"/>
          <w:b/>
          <w:smallCaps/>
          <w:color w:val="000000"/>
          <w:lang w:eastAsia="x-none"/>
        </w:rPr>
        <w:t xml:space="preserve">Confirmed sources of </w:t>
      </w:r>
      <w:hyperlink r:id="rId10" w:history="1">
        <w:r w:rsidRPr="00B672CA">
          <w:rPr>
            <w:rStyle w:val="Hyperlink"/>
            <w:rFonts w:ascii="Times New Roman" w:hAnsi="Times New Roman"/>
            <w:b/>
            <w:smallCaps/>
          </w:rPr>
          <w:t>Co-financing</w:t>
        </w:r>
      </w:hyperlink>
      <w:r w:rsidRPr="00B672CA">
        <w:rPr>
          <w:rFonts w:ascii="Times New Roman" w:eastAsia="Times New Roman" w:hAnsi="Times New Roman"/>
          <w:b/>
          <w:smallCaps/>
          <w:color w:val="000000"/>
          <w:lang w:eastAsia="x-none"/>
        </w:rPr>
        <w:t xml:space="preserve"> for the project by name and by type</w:t>
      </w:r>
      <w:r w:rsidR="00CA0428" w:rsidRPr="00B672CA">
        <w:rPr>
          <w:rFonts w:ascii="Times New Roman" w:eastAsia="Times New Roman" w:hAnsi="Times New Roman"/>
          <w:b/>
          <w:smallCaps/>
          <w:color w:val="000000"/>
          <w:lang w:eastAsia="x-none"/>
        </w:rPr>
        <w:t xml:space="preserve"> (</w:t>
      </w:r>
      <w:r w:rsidR="00CA0428" w:rsidRPr="00B672CA">
        <w:rPr>
          <w:rFonts w:ascii="Times New Roman" w:eastAsia="Times New Roman" w:hAnsi="Times New Roman"/>
          <w:color w:val="000000"/>
          <w:lang w:eastAsia="x-none"/>
        </w:rPr>
        <w:t xml:space="preserve">letters are in Annex </w:t>
      </w:r>
      <w:r w:rsidR="00101D6E" w:rsidRPr="00B672CA">
        <w:rPr>
          <w:rFonts w:ascii="Times New Roman" w:eastAsia="Times New Roman" w:hAnsi="Times New Roman"/>
          <w:color w:val="000000"/>
          <w:lang w:eastAsia="x-none"/>
        </w:rPr>
        <w:t>M</w:t>
      </w:r>
      <w:r w:rsidR="00CA0428" w:rsidRPr="00B672CA">
        <w:rPr>
          <w:rFonts w:ascii="Times New Roman" w:eastAsia="Times New Roman" w:hAnsi="Times New Roman"/>
          <w:color w:val="000000"/>
          <w:lang w:eastAsia="x-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2"/>
        <w:gridCol w:w="2779"/>
        <w:gridCol w:w="5367"/>
        <w:gridCol w:w="1321"/>
      </w:tblGrid>
      <w:tr w:rsidR="00801C46" w:rsidRPr="00B672CA" w14:paraId="7F5245FF" w14:textId="77777777" w:rsidTr="00A02AAF">
        <w:trPr>
          <w:cantSplit/>
          <w:trHeight w:val="91"/>
        </w:trPr>
        <w:tc>
          <w:tcPr>
            <w:tcW w:w="629" w:type="pct"/>
          </w:tcPr>
          <w:p w14:paraId="43EF6850" w14:textId="76D23A96" w:rsidR="00D25D40" w:rsidRPr="00B672CA" w:rsidRDefault="00801C46" w:rsidP="00D46460">
            <w:pPr>
              <w:pStyle w:val="Tableheading"/>
            </w:pPr>
            <w:r w:rsidRPr="00B672CA">
              <w:t>Sources</w:t>
            </w:r>
          </w:p>
        </w:tc>
        <w:tc>
          <w:tcPr>
            <w:tcW w:w="1283" w:type="pct"/>
          </w:tcPr>
          <w:p w14:paraId="52819BE7" w14:textId="77777777" w:rsidR="00D25D40" w:rsidRPr="00B672CA" w:rsidRDefault="00D25D40" w:rsidP="00D46460">
            <w:pPr>
              <w:pStyle w:val="Tableheading"/>
            </w:pPr>
            <w:r w:rsidRPr="00B672CA">
              <w:t xml:space="preserve">Name of Co-financier </w:t>
            </w:r>
          </w:p>
        </w:tc>
        <w:tc>
          <w:tcPr>
            <w:tcW w:w="2478" w:type="pct"/>
          </w:tcPr>
          <w:p w14:paraId="5146DAC3" w14:textId="77777777" w:rsidR="00D25D40" w:rsidRPr="00B672CA" w:rsidRDefault="00D25D40" w:rsidP="00D46460">
            <w:pPr>
              <w:pStyle w:val="Tableheading"/>
            </w:pPr>
            <w:r w:rsidRPr="00B672CA">
              <w:t>Type of Cofinancing</w:t>
            </w:r>
          </w:p>
        </w:tc>
        <w:tc>
          <w:tcPr>
            <w:tcW w:w="610" w:type="pct"/>
            <w:shd w:val="clear" w:color="auto" w:fill="auto"/>
          </w:tcPr>
          <w:p w14:paraId="26434F9F" w14:textId="3B236D68" w:rsidR="00D25D40" w:rsidRPr="00B672CA" w:rsidRDefault="00AF6EE8" w:rsidP="00D46460">
            <w:pPr>
              <w:pStyle w:val="Tableheading"/>
            </w:pPr>
            <w:r w:rsidRPr="00B672CA">
              <w:t>Amount ($)</w:t>
            </w:r>
          </w:p>
        </w:tc>
      </w:tr>
      <w:tr w:rsidR="0019393D" w:rsidRPr="00B672CA" w14:paraId="1EC70F48" w14:textId="77777777" w:rsidTr="00A02AAF">
        <w:trPr>
          <w:cantSplit/>
          <w:trHeight w:val="91"/>
        </w:trPr>
        <w:tc>
          <w:tcPr>
            <w:tcW w:w="629" w:type="pct"/>
          </w:tcPr>
          <w:p w14:paraId="47C36508" w14:textId="73E27D4F" w:rsidR="0019393D" w:rsidRPr="00B672CA" w:rsidRDefault="0019393D" w:rsidP="00D46460">
            <w:pPr>
              <w:pStyle w:val="Tableheading"/>
              <w:rPr>
                <w:b w:val="0"/>
                <w:bCs/>
              </w:rPr>
            </w:pPr>
            <w:r w:rsidRPr="00B672CA">
              <w:rPr>
                <w:b w:val="0"/>
                <w:bCs/>
              </w:rPr>
              <w:t>Executing Agency</w:t>
            </w:r>
          </w:p>
        </w:tc>
        <w:tc>
          <w:tcPr>
            <w:tcW w:w="1283" w:type="pct"/>
          </w:tcPr>
          <w:p w14:paraId="2E07D20D" w14:textId="4DB5BFE5" w:rsidR="0019393D" w:rsidRPr="00B672CA" w:rsidRDefault="00005AAD" w:rsidP="00D46460">
            <w:pPr>
              <w:pStyle w:val="Tableheading"/>
              <w:rPr>
                <w:b w:val="0"/>
                <w:bCs/>
                <w:lang w:val="en-US"/>
              </w:rPr>
            </w:pPr>
            <w:r w:rsidRPr="00B672CA">
              <w:rPr>
                <w:b w:val="0"/>
                <w:bCs/>
              </w:rPr>
              <w:t>&amp;Green Fund</w:t>
            </w:r>
          </w:p>
        </w:tc>
        <w:tc>
          <w:tcPr>
            <w:tcW w:w="2478" w:type="pct"/>
          </w:tcPr>
          <w:p w14:paraId="7D121702" w14:textId="2BE6EEEC" w:rsidR="0019393D" w:rsidRPr="00B672CA" w:rsidRDefault="0019393D" w:rsidP="00D46460">
            <w:pPr>
              <w:pStyle w:val="Tableheading"/>
              <w:rPr>
                <w:b w:val="0"/>
                <w:bCs/>
                <w:lang w:val="en-US"/>
              </w:rPr>
            </w:pPr>
            <w:r w:rsidRPr="00B672CA">
              <w:rPr>
                <w:b w:val="0"/>
                <w:bCs/>
              </w:rPr>
              <w:fldChar w:fldCharType="begin">
                <w:ffData>
                  <w:name w:val="TblC_CofinType_01"/>
                  <w:enabled/>
                  <w:calcOnExit w:val="0"/>
                  <w:ddList>
                    <w:result w:val="1"/>
                    <w:listEntry w:val="(select)"/>
                    <w:listEntry w:val="Grants"/>
                    <w:listEntry w:val="Loans"/>
                    <w:listEntry w:val="Equity"/>
                    <w:listEntry w:val="Guarantees"/>
                    <w:listEntry w:val="In-kind"/>
                  </w:ddList>
                </w:ffData>
              </w:fldChar>
            </w:r>
            <w:bookmarkStart w:id="11" w:name="TblC_CofinType_01"/>
            <w:r w:rsidRPr="00B672CA">
              <w:rPr>
                <w:b w:val="0"/>
                <w:bCs/>
              </w:rPr>
              <w:instrText xml:space="preserve"> FORMDROPDOWN </w:instrText>
            </w:r>
            <w:r w:rsidR="0004701D">
              <w:rPr>
                <w:b w:val="0"/>
                <w:bCs/>
              </w:rPr>
            </w:r>
            <w:r w:rsidR="0004701D">
              <w:rPr>
                <w:b w:val="0"/>
                <w:bCs/>
              </w:rPr>
              <w:fldChar w:fldCharType="separate"/>
            </w:r>
            <w:r w:rsidRPr="00B672CA">
              <w:rPr>
                <w:b w:val="0"/>
                <w:bCs/>
              </w:rPr>
              <w:fldChar w:fldCharType="end"/>
            </w:r>
            <w:bookmarkEnd w:id="11"/>
          </w:p>
        </w:tc>
        <w:tc>
          <w:tcPr>
            <w:tcW w:w="610" w:type="pct"/>
            <w:shd w:val="clear" w:color="auto" w:fill="auto"/>
          </w:tcPr>
          <w:p w14:paraId="3A09A336" w14:textId="11F33CF5" w:rsidR="0019393D" w:rsidRPr="00B672CA" w:rsidRDefault="0019393D" w:rsidP="00D46460">
            <w:pPr>
              <w:pStyle w:val="Tableheading"/>
              <w:rPr>
                <w:b w:val="0"/>
                <w:bCs/>
                <w:lang w:val="en-US"/>
              </w:rPr>
            </w:pPr>
            <w:r w:rsidRPr="00B672CA">
              <w:rPr>
                <w:b w:val="0"/>
                <w:bCs/>
              </w:rPr>
              <w:t>25,000,000</w:t>
            </w:r>
          </w:p>
        </w:tc>
      </w:tr>
      <w:tr w:rsidR="0019393D" w:rsidRPr="00B672CA" w14:paraId="5D72EA91" w14:textId="77777777" w:rsidTr="00A02AAF">
        <w:trPr>
          <w:cantSplit/>
          <w:trHeight w:val="91"/>
        </w:trPr>
        <w:tc>
          <w:tcPr>
            <w:tcW w:w="629" w:type="pct"/>
          </w:tcPr>
          <w:p w14:paraId="4733766D" w14:textId="5D7FE93D" w:rsidR="0019393D" w:rsidRPr="00B672CA" w:rsidRDefault="0019393D" w:rsidP="00D46460">
            <w:pPr>
              <w:pStyle w:val="Tableheading"/>
              <w:rPr>
                <w:b w:val="0"/>
                <w:bCs/>
              </w:rPr>
            </w:pPr>
            <w:r w:rsidRPr="00B672CA">
              <w:rPr>
                <w:b w:val="0"/>
                <w:bCs/>
              </w:rPr>
              <w:t>Executing Agency</w:t>
            </w:r>
          </w:p>
        </w:tc>
        <w:tc>
          <w:tcPr>
            <w:tcW w:w="1283" w:type="pct"/>
          </w:tcPr>
          <w:p w14:paraId="1C5317B4" w14:textId="780492A3" w:rsidR="0019393D" w:rsidRPr="00B672CA" w:rsidRDefault="0019393D" w:rsidP="00D46460">
            <w:pPr>
              <w:pStyle w:val="Tableheading"/>
              <w:rPr>
                <w:b w:val="0"/>
                <w:bCs/>
                <w:lang w:val="en-US"/>
              </w:rPr>
            </w:pPr>
            <w:r w:rsidRPr="00B672CA">
              <w:rPr>
                <w:b w:val="0"/>
                <w:bCs/>
                <w:lang w:val="en-US"/>
              </w:rPr>
              <w:t xml:space="preserve">IDH (through </w:t>
            </w:r>
            <w:r w:rsidRPr="00B672CA">
              <w:rPr>
                <w:b w:val="0"/>
                <w:bCs/>
              </w:rPr>
              <w:t>NICFI-IDH Partnership Program described in baseline section)</w:t>
            </w:r>
          </w:p>
        </w:tc>
        <w:tc>
          <w:tcPr>
            <w:tcW w:w="2478" w:type="pct"/>
          </w:tcPr>
          <w:p w14:paraId="3AC121A4" w14:textId="26E6CBEB" w:rsidR="0019393D" w:rsidRPr="00B672CA" w:rsidRDefault="0019393D" w:rsidP="00D46460">
            <w:pPr>
              <w:pStyle w:val="Tableheading"/>
              <w:rPr>
                <w:b w:val="0"/>
                <w:bCs/>
                <w:lang w:val="en-US"/>
              </w:rPr>
            </w:pPr>
            <w:r w:rsidRPr="00B672CA">
              <w:rPr>
                <w:b w:val="0"/>
                <w:bCs/>
              </w:rPr>
              <w:fldChar w:fldCharType="begin">
                <w:ffData>
                  <w:name w:val="TblC_CofinType_02"/>
                  <w:enabled/>
                  <w:calcOnExit w:val="0"/>
                  <w:ddList>
                    <w:result w:val="1"/>
                    <w:listEntry w:val="(select)"/>
                    <w:listEntry w:val="Grants"/>
                    <w:listEntry w:val="Loans"/>
                    <w:listEntry w:val="Equity"/>
                    <w:listEntry w:val="Guarantees"/>
                    <w:listEntry w:val="In-kind"/>
                  </w:ddList>
                </w:ffData>
              </w:fldChar>
            </w:r>
            <w:bookmarkStart w:id="12" w:name="TblC_CofinType_02"/>
            <w:r w:rsidRPr="00B672CA">
              <w:rPr>
                <w:b w:val="0"/>
                <w:bCs/>
              </w:rPr>
              <w:instrText xml:space="preserve"> FORMDROPDOWN </w:instrText>
            </w:r>
            <w:r w:rsidR="0004701D">
              <w:rPr>
                <w:b w:val="0"/>
                <w:bCs/>
              </w:rPr>
            </w:r>
            <w:r w:rsidR="0004701D">
              <w:rPr>
                <w:b w:val="0"/>
                <w:bCs/>
              </w:rPr>
              <w:fldChar w:fldCharType="separate"/>
            </w:r>
            <w:r w:rsidRPr="00B672CA">
              <w:rPr>
                <w:b w:val="0"/>
                <w:bCs/>
              </w:rPr>
              <w:fldChar w:fldCharType="end"/>
            </w:r>
            <w:bookmarkEnd w:id="12"/>
          </w:p>
        </w:tc>
        <w:tc>
          <w:tcPr>
            <w:tcW w:w="610" w:type="pct"/>
            <w:shd w:val="clear" w:color="auto" w:fill="auto"/>
          </w:tcPr>
          <w:p w14:paraId="1E3474D6" w14:textId="1E5F492C" w:rsidR="0019393D" w:rsidRPr="00B672CA" w:rsidRDefault="0019393D" w:rsidP="00D46460">
            <w:pPr>
              <w:pStyle w:val="Tableheading"/>
              <w:rPr>
                <w:b w:val="0"/>
                <w:bCs/>
              </w:rPr>
            </w:pPr>
            <w:r w:rsidRPr="00B672CA">
              <w:rPr>
                <w:b w:val="0"/>
                <w:bCs/>
              </w:rPr>
              <w:t>27,518,998</w:t>
            </w:r>
          </w:p>
        </w:tc>
      </w:tr>
      <w:tr w:rsidR="0019393D" w:rsidRPr="00B672CA" w14:paraId="1441A8CD" w14:textId="77777777" w:rsidTr="00A02AAF">
        <w:trPr>
          <w:cantSplit/>
        </w:trPr>
        <w:tc>
          <w:tcPr>
            <w:tcW w:w="1912" w:type="pct"/>
            <w:gridSpan w:val="2"/>
            <w:tcBorders>
              <w:top w:val="double" w:sz="4" w:space="0" w:color="auto"/>
            </w:tcBorders>
          </w:tcPr>
          <w:p w14:paraId="378CB7BD" w14:textId="7BC61B1C" w:rsidR="0019393D" w:rsidRPr="00B672CA" w:rsidRDefault="0019393D" w:rsidP="00371C61">
            <w:pPr>
              <w:pStyle w:val="Tabletext"/>
            </w:pPr>
            <w:r w:rsidRPr="00B672CA">
              <w:t>Total Co-financing</w:t>
            </w:r>
          </w:p>
        </w:tc>
        <w:tc>
          <w:tcPr>
            <w:tcW w:w="2478" w:type="pct"/>
            <w:tcBorders>
              <w:top w:val="double" w:sz="4" w:space="0" w:color="auto"/>
            </w:tcBorders>
          </w:tcPr>
          <w:p w14:paraId="2C71AB52" w14:textId="77777777" w:rsidR="0019393D" w:rsidRPr="00B672CA" w:rsidRDefault="0019393D" w:rsidP="00371C61">
            <w:pPr>
              <w:pStyle w:val="Tabletext"/>
            </w:pPr>
          </w:p>
        </w:tc>
        <w:tc>
          <w:tcPr>
            <w:tcW w:w="610" w:type="pct"/>
            <w:tcBorders>
              <w:top w:val="double" w:sz="4" w:space="0" w:color="auto"/>
            </w:tcBorders>
          </w:tcPr>
          <w:p w14:paraId="1FC64494" w14:textId="408D1F2C" w:rsidR="0019393D" w:rsidRPr="00B672CA" w:rsidRDefault="0019393D"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bl>
    <w:p w14:paraId="1C837FE3" w14:textId="5DB09DD4" w:rsidR="0037713D" w:rsidRPr="00B672CA" w:rsidRDefault="0037713D" w:rsidP="00371C61">
      <w:pPr>
        <w:pStyle w:val="Tablenotes"/>
      </w:pPr>
    </w:p>
    <w:p w14:paraId="35F57B71" w14:textId="77777777" w:rsidR="00D25D40" w:rsidRPr="00B672CA" w:rsidRDefault="00D25D40" w:rsidP="00D25D40">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eastAsia="x-none"/>
        </w:rPr>
      </w:pPr>
      <w:r w:rsidRPr="00B672CA">
        <w:rPr>
          <w:rFonts w:ascii="Times New Roman" w:eastAsia="Times New Roman" w:hAnsi="Times New Roman"/>
          <w:b/>
          <w:bCs/>
          <w:smallCaps/>
          <w:color w:val="000000"/>
          <w:lang w:eastAsia="x-none"/>
        </w:rPr>
        <w:t>Trust Fund Resources Requested by Agency, Country(ies), Focal Area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6"/>
        <w:gridCol w:w="878"/>
        <w:gridCol w:w="944"/>
        <w:gridCol w:w="1666"/>
        <w:gridCol w:w="1908"/>
        <w:gridCol w:w="1787"/>
        <w:gridCol w:w="1581"/>
        <w:gridCol w:w="1139"/>
      </w:tblGrid>
      <w:tr w:rsidR="00A02AAF" w:rsidRPr="00B672CA" w14:paraId="5E87195E" w14:textId="77777777" w:rsidTr="00A02AAF">
        <w:trPr>
          <w:trHeight w:val="91"/>
        </w:trPr>
        <w:tc>
          <w:tcPr>
            <w:tcW w:w="428" w:type="pct"/>
            <w:shd w:val="clear" w:color="auto" w:fill="auto"/>
          </w:tcPr>
          <w:p w14:paraId="6DD6BA17" w14:textId="74BD0E7A" w:rsidR="00A02AAF" w:rsidRPr="00B672CA" w:rsidRDefault="00A02AAF" w:rsidP="00D46460">
            <w:pPr>
              <w:pStyle w:val="Tableheading"/>
            </w:pPr>
            <w:r w:rsidRPr="00B672CA">
              <w:t>GEF Agency</w:t>
            </w:r>
          </w:p>
        </w:tc>
        <w:tc>
          <w:tcPr>
            <w:tcW w:w="405" w:type="pct"/>
            <w:shd w:val="clear" w:color="auto" w:fill="auto"/>
          </w:tcPr>
          <w:p w14:paraId="61AE0767" w14:textId="13E15D07" w:rsidR="00A02AAF" w:rsidRPr="00B672CA" w:rsidRDefault="00A02AAF" w:rsidP="00D46460">
            <w:pPr>
              <w:pStyle w:val="Tableheading"/>
            </w:pPr>
            <w:r w:rsidRPr="00B672CA">
              <w:t>Trust Fund</w:t>
            </w:r>
          </w:p>
        </w:tc>
        <w:tc>
          <w:tcPr>
            <w:tcW w:w="436" w:type="pct"/>
            <w:shd w:val="clear" w:color="auto" w:fill="auto"/>
          </w:tcPr>
          <w:p w14:paraId="6C5EEEC7" w14:textId="47BA8F03" w:rsidR="00A02AAF" w:rsidRPr="00B672CA" w:rsidRDefault="00A02AAF" w:rsidP="00D46460">
            <w:pPr>
              <w:pStyle w:val="Tableheading"/>
            </w:pPr>
            <w:r w:rsidRPr="00B672CA">
              <w:t>Country Name</w:t>
            </w:r>
          </w:p>
        </w:tc>
        <w:tc>
          <w:tcPr>
            <w:tcW w:w="769" w:type="pct"/>
            <w:shd w:val="clear" w:color="auto" w:fill="auto"/>
          </w:tcPr>
          <w:p w14:paraId="10FB4BDF" w14:textId="5B0D4C24" w:rsidR="00A02AAF" w:rsidRPr="00B672CA" w:rsidRDefault="00A02AAF" w:rsidP="00D46460">
            <w:pPr>
              <w:pStyle w:val="Tableheading"/>
            </w:pPr>
            <w:r w:rsidRPr="00B672CA">
              <w:t>Focal Area</w:t>
            </w:r>
          </w:p>
        </w:tc>
        <w:tc>
          <w:tcPr>
            <w:tcW w:w="881" w:type="pct"/>
            <w:shd w:val="clear" w:color="auto" w:fill="auto"/>
          </w:tcPr>
          <w:p w14:paraId="139A5BFE" w14:textId="282EEA0E" w:rsidR="00A02AAF" w:rsidRPr="00B672CA" w:rsidRDefault="00A02AAF" w:rsidP="00D46460">
            <w:pPr>
              <w:pStyle w:val="Tableheading"/>
            </w:pPr>
            <w:r w:rsidRPr="00B672CA">
              <w:t>Programming of Funds</w:t>
            </w:r>
          </w:p>
        </w:tc>
        <w:tc>
          <w:tcPr>
            <w:tcW w:w="825" w:type="pct"/>
            <w:shd w:val="clear" w:color="auto" w:fill="auto"/>
          </w:tcPr>
          <w:p w14:paraId="23C7D8AC" w14:textId="3C9EEAB0" w:rsidR="00A02AAF" w:rsidRPr="00B672CA" w:rsidRDefault="00A02AAF" w:rsidP="00D46460">
            <w:pPr>
              <w:pStyle w:val="Tableheading"/>
            </w:pPr>
            <w:r w:rsidRPr="00B672CA">
              <w:t>GEF ($)</w:t>
            </w:r>
          </w:p>
        </w:tc>
        <w:tc>
          <w:tcPr>
            <w:tcW w:w="730" w:type="pct"/>
            <w:shd w:val="clear" w:color="auto" w:fill="auto"/>
          </w:tcPr>
          <w:p w14:paraId="44CFF735" w14:textId="379E41C6" w:rsidR="00A02AAF" w:rsidRPr="00B672CA" w:rsidRDefault="00A02AAF" w:rsidP="00D46460">
            <w:pPr>
              <w:pStyle w:val="Tableheading"/>
            </w:pPr>
            <w:r w:rsidRPr="00B672CA">
              <w:t>Agency Fee ($)</w:t>
            </w:r>
            <w:r w:rsidRPr="00B672CA">
              <w:rPr>
                <w:vertAlign w:val="superscript"/>
              </w:rPr>
              <w:t>2</w:t>
            </w:r>
          </w:p>
        </w:tc>
        <w:tc>
          <w:tcPr>
            <w:tcW w:w="526" w:type="pct"/>
            <w:shd w:val="clear" w:color="auto" w:fill="auto"/>
          </w:tcPr>
          <w:p w14:paraId="794B72FC" w14:textId="4D4E089E" w:rsidR="00A02AAF" w:rsidRPr="00B672CA" w:rsidRDefault="00A02AAF" w:rsidP="00D46460">
            <w:pPr>
              <w:pStyle w:val="Tableheading"/>
            </w:pPr>
            <w:r w:rsidRPr="00B672CA">
              <w:t>Total ($)</w:t>
            </w:r>
          </w:p>
        </w:tc>
      </w:tr>
      <w:tr w:rsidR="00A02AAF" w:rsidRPr="00B672CA" w14:paraId="3FCF1793" w14:textId="77777777" w:rsidTr="00A02AAF">
        <w:trPr>
          <w:trHeight w:val="253"/>
        </w:trPr>
        <w:tc>
          <w:tcPr>
            <w:tcW w:w="428" w:type="pct"/>
            <w:shd w:val="clear" w:color="auto" w:fill="auto"/>
          </w:tcPr>
          <w:p w14:paraId="7050F383" w14:textId="77777777" w:rsidR="00A02AAF" w:rsidRPr="00B672CA" w:rsidRDefault="00A02AAF" w:rsidP="00371C61">
            <w:pPr>
              <w:pStyle w:val="Tabletext"/>
              <w:rPr>
                <w:rFonts w:eastAsia="Times New Roman"/>
              </w:rPr>
            </w:pPr>
            <w:r w:rsidRPr="00B672CA">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B672CA">
              <w:instrText xml:space="preserve"> FORMDROPDOWN </w:instrText>
            </w:r>
            <w:r w:rsidR="0004701D">
              <w:fldChar w:fldCharType="separate"/>
            </w:r>
            <w:r w:rsidRPr="00B672CA">
              <w:fldChar w:fldCharType="end"/>
            </w:r>
          </w:p>
        </w:tc>
        <w:tc>
          <w:tcPr>
            <w:tcW w:w="405" w:type="pct"/>
            <w:shd w:val="clear" w:color="auto" w:fill="auto"/>
          </w:tcPr>
          <w:p w14:paraId="6C9ACD11" w14:textId="77777777" w:rsidR="00A02AAF" w:rsidRPr="00B672CA" w:rsidRDefault="00A02AAF" w:rsidP="00371C61">
            <w:pPr>
              <w:pStyle w:val="Tabletext"/>
            </w:pPr>
            <w:r w:rsidRPr="00B672CA">
              <w:fldChar w:fldCharType="begin">
                <w:ffData>
                  <w:name w:val="D_TF_01"/>
                  <w:enabled/>
                  <w:calcOnExit w:val="0"/>
                  <w:ddList>
                    <w:result w:val="1"/>
                    <w:listEntry w:val="(select)"/>
                    <w:listEntry w:val="GEF TF"/>
                    <w:listEntry w:val="LDCF"/>
                    <w:listEntry w:val="SCCF-A"/>
                    <w:listEntry w:val="SCCF-B"/>
                    <w:listEntry w:val="CBIT"/>
                  </w:ddList>
                </w:ffData>
              </w:fldChar>
            </w:r>
            <w:bookmarkStart w:id="13" w:name="D_TF_01"/>
            <w:r w:rsidRPr="00B672CA">
              <w:instrText xml:space="preserve"> FORMDROPDOWN </w:instrText>
            </w:r>
            <w:r w:rsidR="0004701D">
              <w:fldChar w:fldCharType="separate"/>
            </w:r>
            <w:r w:rsidRPr="00B672CA">
              <w:fldChar w:fldCharType="end"/>
            </w:r>
            <w:bookmarkEnd w:id="13"/>
          </w:p>
        </w:tc>
        <w:tc>
          <w:tcPr>
            <w:tcW w:w="436" w:type="pct"/>
            <w:shd w:val="clear" w:color="auto" w:fill="auto"/>
          </w:tcPr>
          <w:p w14:paraId="09B9F559" w14:textId="77777777" w:rsidR="00A02AAF" w:rsidRPr="00B672CA" w:rsidRDefault="00A02AAF" w:rsidP="00371C61">
            <w:pPr>
              <w:pStyle w:val="Tabletext"/>
              <w:rPr>
                <w:rFonts w:eastAsia="Times New Roman"/>
              </w:rPr>
            </w:pPr>
            <w:r w:rsidRPr="00B672CA">
              <w:t>Global</w:t>
            </w:r>
          </w:p>
        </w:tc>
        <w:tc>
          <w:tcPr>
            <w:tcW w:w="769" w:type="pct"/>
            <w:shd w:val="clear" w:color="auto" w:fill="auto"/>
          </w:tcPr>
          <w:p w14:paraId="3E0607A9" w14:textId="77777777" w:rsidR="00A02AAF" w:rsidRPr="00B672CA" w:rsidRDefault="00A02AAF" w:rsidP="00371C61">
            <w:pPr>
              <w:pStyle w:val="Tabletext"/>
              <w:rPr>
                <w:rFonts w:eastAsia="Times New Roman"/>
              </w:rPr>
            </w:pPr>
            <w:r w:rsidRPr="00B672CA">
              <w:fldChar w:fldCharType="begin">
                <w:ffData>
                  <w:name w:val="D_fa_01"/>
                  <w:enabled/>
                  <w:calcOnExit w:val="0"/>
                  <w:ddList>
                    <w:result w:val="5"/>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4" w:name="D_fa_01"/>
            <w:r w:rsidRPr="00B672CA">
              <w:instrText xml:space="preserve"> FORMDROPDOWN </w:instrText>
            </w:r>
            <w:r w:rsidR="0004701D">
              <w:fldChar w:fldCharType="separate"/>
            </w:r>
            <w:r w:rsidRPr="00B672CA">
              <w:fldChar w:fldCharType="end"/>
            </w:r>
            <w:bookmarkEnd w:id="14"/>
            <w:r w:rsidRPr="00B672CA">
              <w:t xml:space="preserve">  </w:t>
            </w:r>
          </w:p>
        </w:tc>
        <w:tc>
          <w:tcPr>
            <w:tcW w:w="881" w:type="pct"/>
            <w:shd w:val="clear" w:color="auto" w:fill="auto"/>
          </w:tcPr>
          <w:p w14:paraId="0860BE4E" w14:textId="77777777" w:rsidR="00A02AAF" w:rsidRPr="00B672CA" w:rsidRDefault="00A02AAF" w:rsidP="00371C61">
            <w:pPr>
              <w:pStyle w:val="Tabletext"/>
              <w:rPr>
                <w:rFonts w:eastAsia="Times New Roman"/>
              </w:rPr>
            </w:pPr>
            <w:r w:rsidRPr="00B672CA">
              <w:fldChar w:fldCharType="begin">
                <w:ffData>
                  <w:name w:val="D_SubTheme_01"/>
                  <w:enabled/>
                  <w:calcOnExit w:val="0"/>
                  <w:ddList>
                    <w:result w:val="10"/>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5" w:name="D_SubTheme_01"/>
            <w:r w:rsidRPr="00B672CA">
              <w:instrText xml:space="preserve"> FORMDROPDOWN </w:instrText>
            </w:r>
            <w:r w:rsidR="0004701D">
              <w:fldChar w:fldCharType="separate"/>
            </w:r>
            <w:r w:rsidRPr="00B672CA">
              <w:fldChar w:fldCharType="end"/>
            </w:r>
            <w:bookmarkEnd w:id="15"/>
          </w:p>
        </w:tc>
        <w:tc>
          <w:tcPr>
            <w:tcW w:w="825" w:type="pct"/>
            <w:shd w:val="clear" w:color="auto" w:fill="auto"/>
          </w:tcPr>
          <w:p w14:paraId="02717CFF" w14:textId="77777777" w:rsidR="00A02AAF" w:rsidRPr="00B672CA" w:rsidRDefault="00A02AAF" w:rsidP="00371C61">
            <w:pPr>
              <w:pStyle w:val="Tabletext"/>
            </w:pPr>
            <w:r w:rsidRPr="00B672CA">
              <w:t>2,000,000</w:t>
            </w:r>
          </w:p>
        </w:tc>
        <w:tc>
          <w:tcPr>
            <w:tcW w:w="730" w:type="pct"/>
            <w:shd w:val="clear" w:color="auto" w:fill="auto"/>
          </w:tcPr>
          <w:p w14:paraId="56D50120" w14:textId="77777777" w:rsidR="00A02AAF" w:rsidRPr="00B672CA" w:rsidRDefault="00A02AAF" w:rsidP="00371C61">
            <w:pPr>
              <w:pStyle w:val="Tabletext"/>
            </w:pPr>
            <w:r w:rsidRPr="00B672CA">
              <w:t>190,000</w:t>
            </w:r>
          </w:p>
        </w:tc>
        <w:tc>
          <w:tcPr>
            <w:tcW w:w="526" w:type="pct"/>
            <w:shd w:val="clear" w:color="auto" w:fill="auto"/>
          </w:tcPr>
          <w:p w14:paraId="44991533" w14:textId="77777777" w:rsidR="00A02AAF" w:rsidRPr="00B672CA" w:rsidRDefault="00A02AAF" w:rsidP="00371C61">
            <w:pPr>
              <w:pStyle w:val="Tabletext"/>
            </w:pPr>
            <w:r w:rsidRPr="00B672CA">
              <w:t>2,190,000</w:t>
            </w:r>
          </w:p>
        </w:tc>
      </w:tr>
      <w:tr w:rsidR="00A02AAF" w:rsidRPr="00B672CA" w14:paraId="517DD8C2" w14:textId="77777777" w:rsidTr="00A02AAF">
        <w:trPr>
          <w:trHeight w:val="253"/>
        </w:trPr>
        <w:tc>
          <w:tcPr>
            <w:tcW w:w="2919" w:type="pct"/>
            <w:gridSpan w:val="5"/>
            <w:tcBorders>
              <w:top w:val="double" w:sz="4" w:space="0" w:color="auto"/>
            </w:tcBorders>
            <w:shd w:val="clear" w:color="auto" w:fill="auto"/>
          </w:tcPr>
          <w:p w14:paraId="06C83846" w14:textId="77777777" w:rsidR="00A02AAF" w:rsidRPr="00B672CA" w:rsidRDefault="00A02AAF" w:rsidP="00371C61">
            <w:pPr>
              <w:pStyle w:val="Tabletext"/>
            </w:pPr>
            <w:r w:rsidRPr="00B672CA">
              <w:t>Total Grant Resources</w:t>
            </w:r>
          </w:p>
        </w:tc>
        <w:tc>
          <w:tcPr>
            <w:tcW w:w="825" w:type="pct"/>
            <w:tcBorders>
              <w:top w:val="double" w:sz="4" w:space="0" w:color="auto"/>
            </w:tcBorders>
            <w:shd w:val="clear" w:color="auto" w:fill="auto"/>
          </w:tcPr>
          <w:p w14:paraId="4A238F0D" w14:textId="77777777" w:rsidR="00A02AAF" w:rsidRPr="00B672CA" w:rsidRDefault="00A02AAF" w:rsidP="00371C61">
            <w:pPr>
              <w:pStyle w:val="Tabletext"/>
            </w:pPr>
            <w:r w:rsidRPr="00B672CA">
              <w:t>2,000,000</w:t>
            </w:r>
          </w:p>
        </w:tc>
        <w:tc>
          <w:tcPr>
            <w:tcW w:w="730" w:type="pct"/>
            <w:tcBorders>
              <w:top w:val="double" w:sz="4" w:space="0" w:color="auto"/>
            </w:tcBorders>
            <w:shd w:val="clear" w:color="auto" w:fill="auto"/>
          </w:tcPr>
          <w:p w14:paraId="5133B359" w14:textId="77777777" w:rsidR="00A02AAF" w:rsidRPr="00B672CA" w:rsidRDefault="00A02AAF" w:rsidP="00371C61">
            <w:pPr>
              <w:pStyle w:val="Tabletext"/>
            </w:pPr>
            <w:r w:rsidRPr="00B672CA">
              <w:t>190,000</w:t>
            </w:r>
          </w:p>
        </w:tc>
        <w:tc>
          <w:tcPr>
            <w:tcW w:w="526" w:type="pct"/>
            <w:tcBorders>
              <w:top w:val="double" w:sz="4" w:space="0" w:color="auto"/>
            </w:tcBorders>
            <w:shd w:val="clear" w:color="auto" w:fill="auto"/>
          </w:tcPr>
          <w:p w14:paraId="47743E10" w14:textId="77777777" w:rsidR="00A02AAF" w:rsidRPr="00B672CA" w:rsidRDefault="00A02AAF" w:rsidP="00371C61">
            <w:pPr>
              <w:pStyle w:val="Tabletext"/>
            </w:pPr>
            <w:r w:rsidRPr="00B672CA">
              <w:t>2,190,000</w:t>
            </w:r>
          </w:p>
        </w:tc>
      </w:tr>
    </w:tbl>
    <w:p w14:paraId="63F1685C" w14:textId="77777777" w:rsidR="00D25D40" w:rsidRPr="00B672CA" w:rsidRDefault="00D25D40" w:rsidP="00D25D40">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rsidRPr="00B672CA">
        <w:rPr>
          <w:rFonts w:ascii="Times New Roman Bold" w:hAnsi="Times New Roman Bold"/>
          <w:b/>
          <w:caps/>
          <w:color w:val="000000"/>
          <w:sz w:val="20"/>
          <w:szCs w:val="20"/>
        </w:rPr>
        <w:t>Project’s Target Contributions to Global Environmental Benefits</w:t>
      </w:r>
      <w:r w:rsidRPr="00B672CA">
        <w:rPr>
          <w:rStyle w:val="FootnoteReference"/>
          <w:rFonts w:ascii="Times New Roman" w:hAnsi="Times New Roman"/>
          <w:b/>
          <w:color w:val="000000"/>
          <w:sz w:val="20"/>
          <w:szCs w:val="20"/>
        </w:rPr>
        <w:footnoteReference w:id="8"/>
      </w:r>
    </w:p>
    <w:p w14:paraId="3F3D821D" w14:textId="77777777" w:rsidR="00D25D40" w:rsidRPr="00B672CA" w:rsidRDefault="00D25D40" w:rsidP="00D25D40">
      <w:pPr>
        <w:pStyle w:val="Footer"/>
        <w:tabs>
          <w:tab w:val="clear" w:pos="4320"/>
          <w:tab w:val="clear" w:pos="8640"/>
        </w:tabs>
        <w:spacing w:after="120"/>
        <w:ind w:left="-90"/>
        <w:rPr>
          <w:color w:val="000000"/>
          <w:sz w:val="22"/>
          <w:szCs w:val="22"/>
          <w:lang w:val="en-US"/>
        </w:rPr>
      </w:pPr>
      <w:r w:rsidRPr="00B672CA">
        <w:rPr>
          <w:color w:val="000000"/>
          <w:sz w:val="22"/>
          <w:szCs w:val="22"/>
          <w:lang w:val="en-US"/>
        </w:rPr>
        <w:lastRenderedPageBreak/>
        <w:t>Provide the expected project targets as appropriate.</w:t>
      </w: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068"/>
        <w:gridCol w:w="2790"/>
      </w:tblGrid>
      <w:tr w:rsidR="00D25D40" w:rsidRPr="00B672CA" w14:paraId="2F216CF1" w14:textId="77777777" w:rsidTr="00696322">
        <w:trPr>
          <w:trHeight w:val="230"/>
          <w:tblHeader/>
        </w:trPr>
        <w:tc>
          <w:tcPr>
            <w:tcW w:w="3960" w:type="dxa"/>
            <w:shd w:val="clear" w:color="auto" w:fill="auto"/>
            <w:vAlign w:val="center"/>
          </w:tcPr>
          <w:p w14:paraId="35B57391" w14:textId="77777777" w:rsidR="00D25D40" w:rsidRPr="00B672CA" w:rsidRDefault="00D25D40" w:rsidP="00D46460">
            <w:pPr>
              <w:pStyle w:val="Tableheading"/>
            </w:pPr>
            <w:r w:rsidRPr="00B672CA">
              <w:t>Corporate Results</w:t>
            </w:r>
          </w:p>
        </w:tc>
        <w:tc>
          <w:tcPr>
            <w:tcW w:w="4068" w:type="dxa"/>
            <w:shd w:val="clear" w:color="auto" w:fill="auto"/>
            <w:vAlign w:val="center"/>
          </w:tcPr>
          <w:p w14:paraId="0D1F6423" w14:textId="77777777" w:rsidR="00D25D40" w:rsidRPr="00B672CA" w:rsidRDefault="00D25D40" w:rsidP="00D46460">
            <w:pPr>
              <w:pStyle w:val="Tableheading"/>
            </w:pPr>
            <w:r w:rsidRPr="00B672CA">
              <w:t>Replenishment Targets</w:t>
            </w:r>
          </w:p>
        </w:tc>
        <w:tc>
          <w:tcPr>
            <w:tcW w:w="2790" w:type="dxa"/>
            <w:shd w:val="clear" w:color="auto" w:fill="auto"/>
            <w:vAlign w:val="center"/>
          </w:tcPr>
          <w:p w14:paraId="085139C2" w14:textId="77777777" w:rsidR="00D25D40" w:rsidRPr="00B672CA" w:rsidRDefault="00D25D40" w:rsidP="00D46460">
            <w:pPr>
              <w:pStyle w:val="Tableheading"/>
            </w:pPr>
            <w:r w:rsidRPr="00B672CA">
              <w:t>Project Targets</w:t>
            </w:r>
          </w:p>
        </w:tc>
      </w:tr>
      <w:tr w:rsidR="00D25D40" w:rsidRPr="00B672CA" w14:paraId="2A86985F" w14:textId="77777777" w:rsidTr="00696322">
        <w:tc>
          <w:tcPr>
            <w:tcW w:w="3960" w:type="dxa"/>
            <w:shd w:val="clear" w:color="auto" w:fill="auto"/>
          </w:tcPr>
          <w:p w14:paraId="6451B967" w14:textId="77777777" w:rsidR="00D25D40" w:rsidRPr="00B672CA" w:rsidRDefault="00D25D40" w:rsidP="00696322">
            <w:pPr>
              <w:numPr>
                <w:ilvl w:val="0"/>
                <w:numId w:val="26"/>
              </w:numPr>
              <w:spacing w:after="0" w:line="240" w:lineRule="auto"/>
              <w:ind w:left="252" w:hanging="240"/>
              <w:rPr>
                <w:rFonts w:ascii="Times New Roman" w:hAnsi="Times New Roman"/>
                <w:color w:val="000000"/>
                <w:sz w:val="20"/>
                <w:szCs w:val="20"/>
              </w:rPr>
            </w:pPr>
            <w:r w:rsidRPr="00B672CA">
              <w:rPr>
                <w:rFonts w:ascii="Times New Roman" w:hAnsi="Times New Roman"/>
                <w:color w:val="000000"/>
                <w:sz w:val="20"/>
                <w:szCs w:val="20"/>
              </w:rPr>
              <w:t>Sustainable land management in production systems (agriculture, rangelands, and forest landscapes)</w:t>
            </w:r>
          </w:p>
        </w:tc>
        <w:tc>
          <w:tcPr>
            <w:tcW w:w="4068" w:type="dxa"/>
            <w:shd w:val="clear" w:color="auto" w:fill="auto"/>
          </w:tcPr>
          <w:p w14:paraId="2E428813" w14:textId="77777777" w:rsidR="00D25D40" w:rsidRPr="00B672CA" w:rsidRDefault="00D25D40" w:rsidP="00696322">
            <w:pPr>
              <w:rPr>
                <w:rFonts w:ascii="Times New Roman" w:hAnsi="Times New Roman"/>
                <w:color w:val="000000"/>
                <w:sz w:val="20"/>
                <w:szCs w:val="20"/>
              </w:rPr>
            </w:pPr>
            <w:r w:rsidRPr="00B672CA">
              <w:rPr>
                <w:rFonts w:ascii="Times New Roman" w:hAnsi="Times New Roman"/>
                <w:color w:val="000000"/>
                <w:sz w:val="20"/>
                <w:szCs w:val="20"/>
              </w:rPr>
              <w:t>120 million hectares under sustainable land management</w:t>
            </w:r>
          </w:p>
        </w:tc>
        <w:tc>
          <w:tcPr>
            <w:tcW w:w="2790" w:type="dxa"/>
            <w:shd w:val="clear" w:color="auto" w:fill="auto"/>
          </w:tcPr>
          <w:p w14:paraId="496B0AB5" w14:textId="071736FE" w:rsidR="00D25D40" w:rsidRPr="00B672CA" w:rsidRDefault="00BF30E2" w:rsidP="00BF30E2">
            <w:pPr>
              <w:rPr>
                <w:rFonts w:ascii="Times New Roman" w:hAnsi="Times New Roman"/>
                <w:i/>
                <w:color w:val="000000"/>
                <w:sz w:val="20"/>
                <w:szCs w:val="20"/>
              </w:rPr>
            </w:pPr>
            <w:r w:rsidRPr="00B672CA">
              <w:rPr>
                <w:rFonts w:ascii="Times New Roman" w:hAnsi="Times New Roman"/>
                <w:i/>
                <w:color w:val="000000"/>
                <w:sz w:val="20"/>
                <w:szCs w:val="20"/>
              </w:rPr>
              <w:t>1</w:t>
            </w:r>
            <w:r w:rsidR="00D25D40" w:rsidRPr="00B672CA">
              <w:rPr>
                <w:rFonts w:ascii="Times New Roman" w:hAnsi="Times New Roman"/>
                <w:i/>
                <w:color w:val="000000"/>
                <w:sz w:val="20"/>
                <w:szCs w:val="20"/>
              </w:rPr>
              <w:t>8</w:t>
            </w:r>
            <w:r w:rsidRPr="00B672CA">
              <w:rPr>
                <w:rFonts w:ascii="Times New Roman" w:hAnsi="Times New Roman"/>
                <w:i/>
                <w:color w:val="000000"/>
                <w:sz w:val="20"/>
                <w:szCs w:val="20"/>
              </w:rPr>
              <w:t>6</w:t>
            </w:r>
            <w:r w:rsidR="00D25D40" w:rsidRPr="00B672CA">
              <w:rPr>
                <w:rFonts w:ascii="Times New Roman" w:hAnsi="Times New Roman"/>
                <w:i/>
                <w:color w:val="000000"/>
                <w:sz w:val="20"/>
                <w:szCs w:val="20"/>
              </w:rPr>
              <w:t>,000 hectares</w:t>
            </w:r>
          </w:p>
        </w:tc>
      </w:tr>
      <w:tr w:rsidR="00D25D40" w:rsidRPr="00B672CA" w14:paraId="70133C11" w14:textId="77777777" w:rsidTr="00696322">
        <w:tc>
          <w:tcPr>
            <w:tcW w:w="3960" w:type="dxa"/>
            <w:shd w:val="clear" w:color="auto" w:fill="auto"/>
          </w:tcPr>
          <w:p w14:paraId="11DA1553" w14:textId="77777777" w:rsidR="00D25D40" w:rsidRPr="00B672CA" w:rsidRDefault="00D25D40" w:rsidP="00696322">
            <w:pPr>
              <w:numPr>
                <w:ilvl w:val="0"/>
                <w:numId w:val="26"/>
              </w:numPr>
              <w:spacing w:after="0" w:line="240" w:lineRule="auto"/>
              <w:ind w:left="252" w:hanging="720"/>
              <w:rPr>
                <w:rFonts w:ascii="Times New Roman" w:hAnsi="Times New Roman"/>
                <w:color w:val="000000"/>
                <w:sz w:val="20"/>
                <w:szCs w:val="20"/>
              </w:rPr>
            </w:pPr>
            <w:r w:rsidRPr="00B672CA">
              <w:rPr>
                <w:rFonts w:ascii="Times New Roman" w:hAnsi="Times New Roman"/>
                <w:color w:val="000000"/>
                <w:sz w:val="20"/>
                <w:szCs w:val="20"/>
              </w:rPr>
              <w:t>4. Support to transformational shifts towards a low-emission and resilient development path</w:t>
            </w:r>
          </w:p>
        </w:tc>
        <w:tc>
          <w:tcPr>
            <w:tcW w:w="4068" w:type="dxa"/>
            <w:shd w:val="clear" w:color="auto" w:fill="auto"/>
          </w:tcPr>
          <w:p w14:paraId="7670DACE" w14:textId="77777777" w:rsidR="00D25D40" w:rsidRPr="00B672CA" w:rsidRDefault="00D25D40" w:rsidP="00696322">
            <w:pPr>
              <w:rPr>
                <w:rFonts w:ascii="Times New Roman" w:hAnsi="Times New Roman"/>
                <w:color w:val="000000"/>
                <w:sz w:val="20"/>
                <w:szCs w:val="20"/>
              </w:rPr>
            </w:pPr>
            <w:r w:rsidRPr="00B672CA">
              <w:rPr>
                <w:rFonts w:ascii="Times New Roman" w:hAnsi="Times New Roman"/>
                <w:color w:val="000000"/>
                <w:sz w:val="20"/>
                <w:szCs w:val="20"/>
              </w:rPr>
              <w:t>750 million tons of CO</w:t>
            </w:r>
            <w:r w:rsidRPr="00B672CA">
              <w:rPr>
                <w:rFonts w:ascii="Times New Roman" w:hAnsi="Times New Roman"/>
                <w:color w:val="000000"/>
                <w:sz w:val="20"/>
                <w:szCs w:val="20"/>
                <w:vertAlign w:val="subscript"/>
              </w:rPr>
              <w:t xml:space="preserve">2e </w:t>
            </w:r>
            <w:r w:rsidRPr="00B672CA">
              <w:rPr>
                <w:rFonts w:ascii="Times New Roman" w:hAnsi="Times New Roman"/>
                <w:color w:val="000000"/>
                <w:sz w:val="20"/>
                <w:szCs w:val="20"/>
              </w:rPr>
              <w:t xml:space="preserve"> mitigated (include both direct and indirect)</w:t>
            </w:r>
          </w:p>
        </w:tc>
        <w:tc>
          <w:tcPr>
            <w:tcW w:w="2790" w:type="dxa"/>
            <w:shd w:val="clear" w:color="auto" w:fill="auto"/>
          </w:tcPr>
          <w:p w14:paraId="6286FFE1" w14:textId="5E40BC64" w:rsidR="00D25D40" w:rsidRPr="00B672CA" w:rsidRDefault="009938B3" w:rsidP="00561828">
            <w:pPr>
              <w:rPr>
                <w:rFonts w:ascii="Times New Roman" w:hAnsi="Times New Roman"/>
                <w:i/>
                <w:color w:val="000000"/>
                <w:sz w:val="20"/>
                <w:szCs w:val="20"/>
              </w:rPr>
            </w:pPr>
            <w:r w:rsidRPr="00B672CA">
              <w:rPr>
                <w:rFonts w:ascii="Times New Roman" w:hAnsi="Times New Roman"/>
                <w:i/>
                <w:color w:val="000000"/>
                <w:sz w:val="20"/>
                <w:szCs w:val="20"/>
              </w:rPr>
              <w:t xml:space="preserve">45 million </w:t>
            </w:r>
            <w:r w:rsidR="00D25D40" w:rsidRPr="00B672CA">
              <w:rPr>
                <w:rFonts w:ascii="Times New Roman" w:hAnsi="Times New Roman"/>
                <w:i/>
                <w:color w:val="000000"/>
                <w:sz w:val="20"/>
                <w:szCs w:val="20"/>
              </w:rPr>
              <w:t>tons of CO</w:t>
            </w:r>
            <w:r w:rsidR="00D25D40" w:rsidRPr="00B672CA">
              <w:rPr>
                <w:rFonts w:ascii="Times New Roman" w:hAnsi="Times New Roman"/>
                <w:i/>
                <w:color w:val="000000"/>
                <w:sz w:val="20"/>
                <w:szCs w:val="20"/>
                <w:vertAlign w:val="subscript"/>
              </w:rPr>
              <w:t>2</w:t>
            </w:r>
            <w:r w:rsidRPr="00B672CA">
              <w:rPr>
                <w:rFonts w:ascii="Times New Roman" w:hAnsi="Times New Roman"/>
                <w:i/>
                <w:color w:val="000000"/>
                <w:sz w:val="20"/>
                <w:szCs w:val="20"/>
              </w:rPr>
              <w:t>e</w:t>
            </w:r>
            <w:r w:rsidR="00D25D40" w:rsidRPr="00B672CA">
              <w:rPr>
                <w:rStyle w:val="FootnoteReference"/>
                <w:rFonts w:ascii="Times New Roman" w:hAnsi="Times New Roman"/>
                <w:i/>
                <w:color w:val="000000"/>
                <w:sz w:val="20"/>
                <w:szCs w:val="20"/>
              </w:rPr>
              <w:footnoteReference w:id="9"/>
            </w:r>
            <w:r w:rsidR="001E7BBC" w:rsidRPr="00B672CA">
              <w:rPr>
                <w:rFonts w:ascii="Times New Roman" w:hAnsi="Times New Roman"/>
                <w:i/>
                <w:color w:val="000000"/>
                <w:sz w:val="20"/>
                <w:szCs w:val="20"/>
              </w:rPr>
              <w:t>over 20 years</w:t>
            </w:r>
          </w:p>
        </w:tc>
      </w:tr>
      <w:tr w:rsidR="00D25D40" w:rsidRPr="00B672CA" w14:paraId="29F68BA6" w14:textId="77777777" w:rsidTr="00696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18" w:type="dxa"/>
            <w:gridSpan w:val="3"/>
          </w:tcPr>
          <w:p w14:paraId="6833C9DC" w14:textId="77777777" w:rsidR="00D25D40" w:rsidRPr="00B672CA" w:rsidRDefault="00D25D40" w:rsidP="00696322">
            <w:pPr>
              <w:tabs>
                <w:tab w:val="num" w:pos="360"/>
              </w:tabs>
              <w:snapToGrid w:val="0"/>
              <w:spacing w:after="0" w:line="240" w:lineRule="auto"/>
              <w:rPr>
                <w:rFonts w:ascii="Times New Roman" w:eastAsia="Times New Roman" w:hAnsi="Times New Roman"/>
                <w:b/>
                <w:caps/>
                <w:color w:val="000000"/>
                <w:u w:val="single"/>
                <w:lang w:val="tr-TR"/>
              </w:rPr>
            </w:pPr>
          </w:p>
          <w:p w14:paraId="25D3E97F" w14:textId="77777777" w:rsidR="00D25D40" w:rsidRPr="00B672CA" w:rsidRDefault="00D25D40" w:rsidP="00696322">
            <w:pPr>
              <w:pStyle w:val="Footer"/>
              <w:numPr>
                <w:ilvl w:val="0"/>
                <w:numId w:val="25"/>
              </w:numPr>
              <w:tabs>
                <w:tab w:val="clear" w:pos="4320"/>
                <w:tab w:val="clear" w:pos="8640"/>
              </w:tabs>
              <w:snapToGrid w:val="0"/>
              <w:spacing w:after="80"/>
              <w:ind w:left="-720" w:firstLine="0"/>
              <w:rPr>
                <w:b/>
                <w:smallCaps/>
                <w:color w:val="000000"/>
                <w:sz w:val="22"/>
                <w:szCs w:val="22"/>
                <w:lang w:val="en-US"/>
              </w:rPr>
            </w:pPr>
            <w:r w:rsidRPr="00B672CA">
              <w:rPr>
                <w:rFonts w:ascii="Times New Roman Bold" w:hAnsi="Times New Roman Bold"/>
                <w:b/>
                <w:caps/>
                <w:color w:val="000000"/>
                <w:sz w:val="22"/>
                <w:szCs w:val="22"/>
                <w:lang w:val="en-US"/>
              </w:rPr>
              <w:t>f.</w:t>
            </w:r>
            <w:r w:rsidRPr="00B672CA">
              <w:rPr>
                <w:b/>
                <w:smallCaps/>
                <w:color w:val="000000"/>
                <w:sz w:val="22"/>
                <w:szCs w:val="22"/>
                <w:lang w:val="en-US"/>
              </w:rPr>
              <w:t xml:space="preserve"> Does the project include a </w:t>
            </w:r>
            <w:hyperlink r:id="rId11" w:history="1">
              <w:r w:rsidRPr="00B672CA">
                <w:rPr>
                  <w:rStyle w:val="Hyperlink"/>
                  <w:b/>
                  <w:smallCaps/>
                  <w:sz w:val="22"/>
                  <w:szCs w:val="22"/>
                  <w:lang w:val="en-US"/>
                </w:rPr>
                <w:t>“non-grant” instrument</w:t>
              </w:r>
            </w:hyperlink>
            <w:r w:rsidRPr="00B672CA">
              <w:rPr>
                <w:b/>
                <w:smallCaps/>
                <w:color w:val="000000"/>
                <w:sz w:val="22"/>
                <w:szCs w:val="22"/>
                <w:lang w:val="en-US"/>
              </w:rPr>
              <w:t xml:space="preserve">? </w:t>
            </w:r>
            <w:bookmarkStart w:id="16" w:name="NonGrantIns"/>
            <w:r w:rsidRPr="00B672CA">
              <w:rPr>
                <w:b/>
                <w:smallCaps/>
                <w:color w:val="000000"/>
                <w:sz w:val="22"/>
                <w:szCs w:val="22"/>
                <w:lang w:val="en-US"/>
              </w:rPr>
              <w:fldChar w:fldCharType="begin">
                <w:ffData>
                  <w:name w:val="NonGrantIns"/>
                  <w:enabled/>
                  <w:calcOnExit w:val="0"/>
                  <w:ddList>
                    <w:result w:val="1"/>
                    <w:listEntry w:val="(Select)"/>
                    <w:listEntry w:val="Yes"/>
                    <w:listEntry w:val="No"/>
                  </w:ddList>
                </w:ffData>
              </w:fldChar>
            </w:r>
            <w:r w:rsidRPr="00B672CA">
              <w:rPr>
                <w:b/>
                <w:smallCaps/>
                <w:color w:val="000000"/>
                <w:sz w:val="22"/>
                <w:szCs w:val="22"/>
                <w:lang w:val="en-US"/>
              </w:rPr>
              <w:instrText xml:space="preserve"> FORMDROPDOWN </w:instrText>
            </w:r>
            <w:r w:rsidR="0004701D">
              <w:rPr>
                <w:b/>
                <w:smallCaps/>
                <w:color w:val="000000"/>
                <w:sz w:val="22"/>
                <w:szCs w:val="22"/>
                <w:lang w:val="en-US"/>
              </w:rPr>
            </w:r>
            <w:r w:rsidR="0004701D">
              <w:rPr>
                <w:b/>
                <w:smallCaps/>
                <w:color w:val="000000"/>
                <w:sz w:val="22"/>
                <w:szCs w:val="22"/>
                <w:lang w:val="en-US"/>
              </w:rPr>
              <w:fldChar w:fldCharType="separate"/>
            </w:r>
            <w:r w:rsidRPr="00B672CA">
              <w:rPr>
                <w:b/>
                <w:smallCaps/>
                <w:color w:val="000000"/>
                <w:sz w:val="22"/>
                <w:szCs w:val="22"/>
                <w:lang w:val="en-US"/>
              </w:rPr>
              <w:fldChar w:fldCharType="end"/>
            </w:r>
            <w:bookmarkEnd w:id="16"/>
            <w:r w:rsidRPr="00B672CA">
              <w:rPr>
                <w:b/>
                <w:smallCaps/>
                <w:color w:val="000000"/>
                <w:sz w:val="22"/>
                <w:szCs w:val="22"/>
                <w:lang w:val="en-US"/>
              </w:rPr>
              <w:t xml:space="preserve"> </w:t>
            </w:r>
          </w:p>
          <w:p w14:paraId="4DB1682E" w14:textId="78CC6937" w:rsidR="009938B3" w:rsidRPr="00B672CA" w:rsidRDefault="00D25D40" w:rsidP="009938B3">
            <w:pPr>
              <w:pStyle w:val="Footer"/>
              <w:tabs>
                <w:tab w:val="clear" w:pos="4320"/>
                <w:tab w:val="clear" w:pos="8640"/>
                <w:tab w:val="num" w:pos="360"/>
              </w:tabs>
              <w:snapToGrid w:val="0"/>
              <w:spacing w:after="80"/>
              <w:rPr>
                <w:color w:val="000000"/>
                <w:sz w:val="22"/>
                <w:szCs w:val="22"/>
                <w:lang w:val="en-US"/>
              </w:rPr>
            </w:pPr>
            <w:r w:rsidRPr="00B672CA">
              <w:rPr>
                <w:color w:val="000000"/>
                <w:sz w:val="22"/>
                <w:szCs w:val="22"/>
                <w:lang w:val="en-US"/>
              </w:rPr>
              <w:t>(If non-grant instruments are used, provide an indicative calendar of expected reflows to your Agency and to the GEF/LDCF/SCCF/CBIT Trust Fund in Annex D.)</w:t>
            </w:r>
          </w:p>
        </w:tc>
      </w:tr>
    </w:tbl>
    <w:p w14:paraId="72581819" w14:textId="77777777"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u w:val="single"/>
          <w:lang w:eastAsia="x-none"/>
        </w:rPr>
        <w:sectPr w:rsidR="00D25D40" w:rsidRPr="00B672CA" w:rsidSect="00696322">
          <w:footerReference w:type="default" r:id="rId12"/>
          <w:pgSz w:w="12240" w:h="15840"/>
          <w:pgMar w:top="720" w:right="907" w:bottom="1728" w:left="720" w:header="720" w:footer="720" w:gutter="0"/>
          <w:cols w:space="720"/>
          <w:docGrid w:linePitch="360"/>
        </w:sectPr>
      </w:pPr>
    </w:p>
    <w:p w14:paraId="38A16B26" w14:textId="77777777"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B672CA">
        <w:rPr>
          <w:rFonts w:ascii="Times New Roman" w:eastAsia="Times New Roman" w:hAnsi="Times New Roman"/>
          <w:b/>
          <w:caps/>
          <w:color w:val="000000"/>
          <w:u w:val="single"/>
          <w:lang w:eastAsia="x-none"/>
        </w:rPr>
        <w:t>part ii: project justification</w:t>
      </w:r>
    </w:p>
    <w:p w14:paraId="23985238" w14:textId="77777777"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lang w:eastAsia="x-none"/>
        </w:rPr>
      </w:pPr>
    </w:p>
    <w:p w14:paraId="2596F7C7" w14:textId="6207430D"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B672CA">
        <w:rPr>
          <w:rFonts w:ascii="Times New Roman" w:eastAsia="Times New Roman" w:hAnsi="Times New Roman"/>
          <w:b/>
          <w:caps/>
          <w:color w:val="000000"/>
          <w:lang w:eastAsia="x-none"/>
        </w:rPr>
        <w:t xml:space="preserve">A. </w:t>
      </w:r>
      <w:r w:rsidRPr="00B672CA">
        <w:rPr>
          <w:rFonts w:ascii="Times New Roman Bold" w:eastAsia="Times New Roman" w:hAnsi="Times New Roman Bold"/>
          <w:b/>
          <w:smallCaps/>
          <w:color w:val="000000"/>
          <w:lang w:eastAsia="x-none"/>
        </w:rPr>
        <w:t>describe any changes in alignment of the project design with the original PIF</w:t>
      </w:r>
    </w:p>
    <w:p w14:paraId="2F96042B" w14:textId="77777777" w:rsidR="003E24F0" w:rsidRPr="00B672CA" w:rsidRDefault="003E24F0" w:rsidP="00D46460">
      <w:pPr>
        <w:pStyle w:val="Tableheading"/>
      </w:pPr>
    </w:p>
    <w:p w14:paraId="77432C1E" w14:textId="0E3B2497" w:rsidR="00472C69" w:rsidRPr="00B672CA" w:rsidRDefault="009C2949" w:rsidP="00D46460">
      <w:pPr>
        <w:pStyle w:val="Tableheading"/>
      </w:pPr>
      <w:r w:rsidRPr="00B672CA">
        <w:t xml:space="preserve">Table 1: </w:t>
      </w:r>
      <w:r w:rsidR="00472C69" w:rsidRPr="00B672CA">
        <w:t xml:space="preserve">Overview of </w:t>
      </w:r>
      <w:r w:rsidR="003E24F0" w:rsidRPr="00B672CA">
        <w:t xml:space="preserve">changes </w:t>
      </w:r>
      <w:r w:rsidR="00472C69" w:rsidRPr="00B672CA">
        <w:t xml:space="preserve">since </w:t>
      </w:r>
      <w:r w:rsidR="003E24F0" w:rsidRPr="00B672CA">
        <w:t xml:space="preserve">the </w:t>
      </w:r>
      <w:r w:rsidR="00472C69" w:rsidRPr="00B672CA">
        <w:t>PIF Stage</w:t>
      </w:r>
      <w:r w:rsidR="003E24F0" w:rsidRPr="00B672CA">
        <w:t>:</w:t>
      </w:r>
    </w:p>
    <w:tbl>
      <w:tblPr>
        <w:tblStyle w:val="TableGrid"/>
        <w:tblW w:w="10908" w:type="dxa"/>
        <w:tblLook w:val="04A0" w:firstRow="1" w:lastRow="0" w:firstColumn="1" w:lastColumn="0" w:noHBand="0" w:noVBand="1"/>
      </w:tblPr>
      <w:tblGrid>
        <w:gridCol w:w="1908"/>
        <w:gridCol w:w="4230"/>
        <w:gridCol w:w="4770"/>
      </w:tblGrid>
      <w:tr w:rsidR="00472C69" w:rsidRPr="00B672CA" w14:paraId="3655AACA" w14:textId="77777777" w:rsidTr="00371C61">
        <w:trPr>
          <w:tblHeader/>
        </w:trPr>
        <w:tc>
          <w:tcPr>
            <w:tcW w:w="1908" w:type="dxa"/>
            <w:shd w:val="clear" w:color="auto" w:fill="D9D9D9" w:themeFill="background1" w:themeFillShade="D9"/>
          </w:tcPr>
          <w:p w14:paraId="67008032" w14:textId="77777777" w:rsidR="00472C69" w:rsidRPr="00B672CA" w:rsidRDefault="00472C69" w:rsidP="00D46460">
            <w:pPr>
              <w:pStyle w:val="Tableheading"/>
            </w:pPr>
            <w:r w:rsidRPr="00B672CA">
              <w:t>Topic</w:t>
            </w:r>
          </w:p>
        </w:tc>
        <w:tc>
          <w:tcPr>
            <w:tcW w:w="4230" w:type="dxa"/>
            <w:shd w:val="clear" w:color="auto" w:fill="D9D9D9" w:themeFill="background1" w:themeFillShade="D9"/>
          </w:tcPr>
          <w:p w14:paraId="1942DD67" w14:textId="77777777" w:rsidR="00472C69" w:rsidRPr="00B672CA" w:rsidRDefault="00472C69" w:rsidP="00D46460">
            <w:pPr>
              <w:pStyle w:val="Tableheading"/>
            </w:pPr>
            <w:r w:rsidRPr="00B672CA">
              <w:t>At PIF Stage</w:t>
            </w:r>
          </w:p>
        </w:tc>
        <w:tc>
          <w:tcPr>
            <w:tcW w:w="4770" w:type="dxa"/>
            <w:shd w:val="clear" w:color="auto" w:fill="D9D9D9" w:themeFill="background1" w:themeFillShade="D9"/>
          </w:tcPr>
          <w:p w14:paraId="353466BA" w14:textId="77777777" w:rsidR="00472C69" w:rsidRPr="00B672CA" w:rsidRDefault="00472C69" w:rsidP="00D46460">
            <w:pPr>
              <w:pStyle w:val="Tableheading"/>
            </w:pPr>
            <w:r w:rsidRPr="00B672CA">
              <w:t>At CEO Endorsement Stage</w:t>
            </w:r>
          </w:p>
        </w:tc>
      </w:tr>
      <w:tr w:rsidR="00D46460" w:rsidRPr="00B672CA" w14:paraId="154F7CD8" w14:textId="77777777" w:rsidTr="00371C61">
        <w:tc>
          <w:tcPr>
            <w:tcW w:w="1908" w:type="dxa"/>
            <w:shd w:val="clear" w:color="auto" w:fill="auto"/>
          </w:tcPr>
          <w:p w14:paraId="02194945" w14:textId="1655F30F" w:rsidR="00D46460" w:rsidRPr="00B672CA" w:rsidRDefault="00D46460" w:rsidP="00371C61">
            <w:pPr>
              <w:pStyle w:val="Tabletext"/>
            </w:pPr>
            <w:r w:rsidRPr="00B672CA">
              <w:rPr>
                <w:b/>
                <w:bCs/>
              </w:rPr>
              <w:t>Executing Partner</w:t>
            </w:r>
            <w:r w:rsidRPr="00B672CA">
              <w:t>:</w:t>
            </w:r>
            <w:r w:rsidR="00371C61" w:rsidRPr="00B672CA">
              <w:t xml:space="preserve"> The fund has been officially established with the legal name of Stichting </w:t>
            </w:r>
            <w:r w:rsidR="00E667AF" w:rsidRPr="00B672CA">
              <w:t>AndGreen.</w:t>
            </w:r>
            <w:r w:rsidR="00005AAD" w:rsidRPr="00B672CA">
              <w:t>Fund</w:t>
            </w:r>
            <w:r w:rsidR="00371C61" w:rsidRPr="00B672CA">
              <w:t xml:space="preserve"> (or "&amp;Green</w:t>
            </w:r>
            <w:r w:rsidR="00E667AF" w:rsidRPr="00B672CA">
              <w:t xml:space="preserve"> Fund</w:t>
            </w:r>
            <w:r w:rsidR="00371C61" w:rsidRPr="00B672CA">
              <w:t>" for short), and has an independent governance system from IDH.</w:t>
            </w:r>
          </w:p>
        </w:tc>
        <w:tc>
          <w:tcPr>
            <w:tcW w:w="4230" w:type="dxa"/>
            <w:shd w:val="clear" w:color="auto" w:fill="auto"/>
          </w:tcPr>
          <w:p w14:paraId="7D7A2281" w14:textId="767D9BF3" w:rsidR="00D46460" w:rsidRPr="00B672CA" w:rsidRDefault="00D46460" w:rsidP="00371C61">
            <w:pPr>
              <w:pStyle w:val="Tabletext"/>
            </w:pPr>
            <w:r w:rsidRPr="00B672CA">
              <w:t>Th</w:t>
            </w:r>
            <w:r w:rsidR="00E667AF" w:rsidRPr="00B672CA">
              <w:t xml:space="preserve">e Sustainable Trade Initiative </w:t>
            </w:r>
            <w:r w:rsidRPr="00B672CA">
              <w:t>(IDH)</w:t>
            </w:r>
          </w:p>
          <w:p w14:paraId="1F1C8CEC" w14:textId="407C5949" w:rsidR="002F3EB2" w:rsidRPr="00B672CA" w:rsidRDefault="002F3EB2" w:rsidP="00371C61">
            <w:pPr>
              <w:pStyle w:val="Tabletext"/>
            </w:pPr>
          </w:p>
        </w:tc>
        <w:tc>
          <w:tcPr>
            <w:tcW w:w="4770" w:type="dxa"/>
            <w:shd w:val="clear" w:color="auto" w:fill="auto"/>
          </w:tcPr>
          <w:p w14:paraId="2556FDB3" w14:textId="3B71EEB5" w:rsidR="00D46460" w:rsidRPr="00B672CA" w:rsidRDefault="00D46460" w:rsidP="00371C61">
            <w:pPr>
              <w:pStyle w:val="Tabletext"/>
            </w:pPr>
            <w:r w:rsidRPr="00B672CA">
              <w:t>T</w:t>
            </w:r>
            <w:r w:rsidR="00E667AF" w:rsidRPr="00B672CA">
              <w:t>he Sustainable Trade Initiative</w:t>
            </w:r>
            <w:r w:rsidRPr="00B672CA">
              <w:t xml:space="preserve"> (IDH), </w:t>
            </w:r>
            <w:r w:rsidR="00005AAD" w:rsidRPr="00B672CA">
              <w:t>&amp;Green Fund</w:t>
            </w:r>
          </w:p>
        </w:tc>
      </w:tr>
      <w:tr w:rsidR="00A77FDA" w:rsidRPr="00B672CA" w14:paraId="0064E66C" w14:textId="77777777" w:rsidTr="00371C61">
        <w:tc>
          <w:tcPr>
            <w:tcW w:w="1908" w:type="dxa"/>
          </w:tcPr>
          <w:p w14:paraId="01D57823" w14:textId="039866CD" w:rsidR="00A77FDA" w:rsidRPr="00B672CA" w:rsidRDefault="00A77FDA" w:rsidP="00371C61">
            <w:pPr>
              <w:pStyle w:val="Tabletext"/>
            </w:pPr>
            <w:r w:rsidRPr="00B672CA">
              <w:rPr>
                <w:b/>
              </w:rPr>
              <w:t>Objective statement</w:t>
            </w:r>
            <w:r w:rsidRPr="00B672CA">
              <w:t xml:space="preserve">: This has been slightly re-worded for greater clarity </w:t>
            </w:r>
          </w:p>
        </w:tc>
        <w:tc>
          <w:tcPr>
            <w:tcW w:w="4230" w:type="dxa"/>
          </w:tcPr>
          <w:p w14:paraId="756E7BCD" w14:textId="2F3830F3" w:rsidR="008C44FD" w:rsidRPr="00B672CA" w:rsidRDefault="00E17B40" w:rsidP="00371C61">
            <w:pPr>
              <w:pStyle w:val="Tabletext"/>
            </w:pPr>
            <w:r w:rsidRPr="00B672CA">
              <w:t>To maintain or increase forest cover, intensify agricultural production, and improve the livelihoods of smallholders through piloting de-risking finance for investments in sustainable landscapes in seven target landscapes in Brazil, Indonesia and Liberia.</w:t>
            </w:r>
          </w:p>
        </w:tc>
        <w:tc>
          <w:tcPr>
            <w:tcW w:w="4770" w:type="dxa"/>
          </w:tcPr>
          <w:p w14:paraId="2A90644F" w14:textId="22FFF75F" w:rsidR="00A77FDA" w:rsidRPr="00B672CA" w:rsidRDefault="00A77FDA" w:rsidP="00371C61">
            <w:pPr>
              <w:pStyle w:val="Tabletext"/>
            </w:pPr>
            <w:r w:rsidRPr="00B672CA">
              <w:t>To maintain, restore or increase forest cover</w:t>
            </w:r>
            <w:r w:rsidR="00E17B40" w:rsidRPr="00B672CA">
              <w:t xml:space="preserve"> </w:t>
            </w:r>
            <w:r w:rsidRPr="00B672CA">
              <w:t>while intensifying agricultural production and improving the livelihoods of smallholders through piloting the de-risking of private finance in sustainable landscapes in seven target landscapes in Brazil, Indonesia, and Liberia</w:t>
            </w:r>
          </w:p>
        </w:tc>
      </w:tr>
      <w:tr w:rsidR="00A77FDA" w:rsidRPr="00B672CA" w14:paraId="696F677C" w14:textId="77777777" w:rsidTr="00371C61">
        <w:tc>
          <w:tcPr>
            <w:tcW w:w="1908" w:type="dxa"/>
          </w:tcPr>
          <w:p w14:paraId="273A6AC0" w14:textId="5E4B2111" w:rsidR="00A77FDA" w:rsidRPr="00B672CA" w:rsidRDefault="00A77FDA" w:rsidP="00371C61">
            <w:pPr>
              <w:pStyle w:val="Tabletext"/>
            </w:pPr>
            <w:r w:rsidRPr="00B672CA">
              <w:rPr>
                <w:b/>
              </w:rPr>
              <w:t>Outcomes</w:t>
            </w:r>
            <w:r w:rsidRPr="00B672CA">
              <w:t>: These have been detailed further with better quantification of outcomes</w:t>
            </w:r>
          </w:p>
        </w:tc>
        <w:tc>
          <w:tcPr>
            <w:tcW w:w="4230" w:type="dxa"/>
          </w:tcPr>
          <w:p w14:paraId="071E111C" w14:textId="13493FBE" w:rsidR="008C44FD" w:rsidRPr="00B672CA" w:rsidRDefault="00E17B40" w:rsidP="00371C61">
            <w:pPr>
              <w:pStyle w:val="Tabletext"/>
            </w:pPr>
            <w:r w:rsidRPr="00B672CA">
              <w:t>Private finance leveraged on a 2:1 ratio as a result of the public, derisking funding provided by the Production, Protection and Inclusion Fund in the seven landscapes (across 3 countries: Indonesia, Liberia and Brazil</w:t>
            </w:r>
          </w:p>
        </w:tc>
        <w:tc>
          <w:tcPr>
            <w:tcW w:w="4770" w:type="dxa"/>
          </w:tcPr>
          <w:p w14:paraId="0058A888" w14:textId="6D73EEC6" w:rsidR="00FC15EE" w:rsidRPr="00B672CA" w:rsidRDefault="00FC15EE" w:rsidP="00371C61">
            <w:pPr>
              <w:pStyle w:val="Tabletext"/>
            </w:pPr>
            <w:r w:rsidRPr="00B672CA">
              <w:t xml:space="preserve">Private finance leveraged on a 5:1 ratio as a result of the de-risking funding provided by the </w:t>
            </w:r>
            <w:r w:rsidR="00005AAD" w:rsidRPr="00B672CA">
              <w:t>&amp;Green Fund</w:t>
            </w:r>
            <w:r w:rsidRPr="00B672CA">
              <w:t xml:space="preserve"> in the seven landscapes (across 3 countries: Indonesia, Liberia and Brazil</w:t>
            </w:r>
          </w:p>
          <w:p w14:paraId="644622E0" w14:textId="77777777" w:rsidR="00FC15EE" w:rsidRPr="00B672CA" w:rsidRDefault="00FC15EE" w:rsidP="00371C61">
            <w:pPr>
              <w:pStyle w:val="Tabletext"/>
            </w:pPr>
            <w:r w:rsidRPr="00B672CA">
              <w:t>Targets</w:t>
            </w:r>
          </w:p>
          <w:p w14:paraId="68AD5E8F" w14:textId="680FB337" w:rsidR="00E17B40" w:rsidRPr="00B672CA" w:rsidRDefault="00E17B40" w:rsidP="00371C61">
            <w:pPr>
              <w:pStyle w:val="Tabletext"/>
            </w:pPr>
            <w:r w:rsidRPr="00B672CA">
              <w:t>- Private financing leveraged in a 5:1 ratio</w:t>
            </w:r>
          </w:p>
          <w:p w14:paraId="5E1171E8" w14:textId="77777777" w:rsidR="00E17B40" w:rsidRPr="00B672CA" w:rsidRDefault="00E17B40" w:rsidP="00371C61">
            <w:pPr>
              <w:pStyle w:val="Tabletext"/>
            </w:pPr>
            <w:r w:rsidRPr="00B672CA">
              <w:t>- Forest cover is maintained at 258,000 ha</w:t>
            </w:r>
          </w:p>
          <w:p w14:paraId="5E4BC8F1" w14:textId="77777777" w:rsidR="00E17B40" w:rsidRPr="00B672CA" w:rsidRDefault="00E17B40" w:rsidP="00371C61">
            <w:pPr>
              <w:pStyle w:val="Tabletext"/>
            </w:pPr>
            <w:r w:rsidRPr="00B672CA">
              <w:t>- Sustainable agricultural production is realized at 186,000 ha</w:t>
            </w:r>
          </w:p>
          <w:p w14:paraId="27830BFB" w14:textId="2E2A7F88" w:rsidR="00A77FDA" w:rsidRPr="00B672CA" w:rsidRDefault="00E17B40" w:rsidP="00371C61">
            <w:pPr>
              <w:pStyle w:val="Tabletext"/>
            </w:pPr>
            <w:r w:rsidRPr="00B672CA">
              <w:t>- Deforestation is avoided at 180,000 ha</w:t>
            </w:r>
          </w:p>
        </w:tc>
      </w:tr>
      <w:tr w:rsidR="00E17B40" w:rsidRPr="00B672CA" w14:paraId="5E418178" w14:textId="77777777" w:rsidTr="00371C61">
        <w:tc>
          <w:tcPr>
            <w:tcW w:w="1908" w:type="dxa"/>
          </w:tcPr>
          <w:p w14:paraId="0BCD1883" w14:textId="7211777F" w:rsidR="00E17B40" w:rsidRPr="00B672CA" w:rsidRDefault="00E17B40" w:rsidP="00371C61">
            <w:pPr>
              <w:pStyle w:val="Tabletext"/>
            </w:pPr>
            <w:r w:rsidRPr="00B672CA">
              <w:rPr>
                <w:b/>
              </w:rPr>
              <w:t>Outputs</w:t>
            </w:r>
            <w:r w:rsidRPr="00B672CA">
              <w:t>: Substance of the outputs has largely remained the same; slight change in ordering of outputs to reflect that development of a  pipeline of investable projects will precede the investment process</w:t>
            </w:r>
          </w:p>
        </w:tc>
        <w:tc>
          <w:tcPr>
            <w:tcW w:w="4230" w:type="dxa"/>
          </w:tcPr>
          <w:p w14:paraId="36FB18E3" w14:textId="77777777" w:rsidR="00E17B40" w:rsidRPr="00B672CA" w:rsidRDefault="00E17B40" w:rsidP="00371C61">
            <w:pPr>
              <w:pStyle w:val="Tabletext"/>
            </w:pPr>
            <w:r w:rsidRPr="00B672CA">
              <w:t>1.1 22 million US$ invested as derisking production in exchange for a protection plan through Production Protection Inclusion Fund</w:t>
            </w:r>
          </w:p>
          <w:p w14:paraId="59F693E8" w14:textId="77777777" w:rsidR="00E17B40" w:rsidRPr="00B672CA" w:rsidRDefault="00E17B40" w:rsidP="00371C61">
            <w:pPr>
              <w:pStyle w:val="Tabletext"/>
            </w:pPr>
            <w:r w:rsidRPr="00B672CA">
              <w:t>1.2 Investment Pipeline Developed to create proof-of-concept on solutions contributing to Green Growth targets established under NICFI-IDH Partnership Program and PPI deals signed under 2.1</w:t>
            </w:r>
          </w:p>
          <w:p w14:paraId="63950425" w14:textId="77777777" w:rsidR="00E17B40" w:rsidRPr="00B672CA" w:rsidRDefault="00E17B40" w:rsidP="00371C61">
            <w:pPr>
              <w:pStyle w:val="Tabletext"/>
            </w:pPr>
            <w:r w:rsidRPr="00B672CA">
              <w:t>1.3 Financial leverage created by fundraising from climate funders, mainstream finance institutions and development finance institutions</w:t>
            </w:r>
          </w:p>
          <w:p w14:paraId="56320978" w14:textId="66CCE99D" w:rsidR="00E17B40" w:rsidRPr="00B672CA" w:rsidRDefault="00E17B40" w:rsidP="00371C61">
            <w:pPr>
              <w:pStyle w:val="Tabletext"/>
            </w:pPr>
            <w:r w:rsidRPr="00B672CA">
              <w:t>1.4 A system for monitoring the impact performance created (Satellite imagery, field inspections, interviews, reports) in order to verify and track conservation performance</w:t>
            </w:r>
          </w:p>
        </w:tc>
        <w:tc>
          <w:tcPr>
            <w:tcW w:w="4770" w:type="dxa"/>
          </w:tcPr>
          <w:p w14:paraId="77977717" w14:textId="77777777" w:rsidR="00E17B40" w:rsidRPr="00280BF9" w:rsidRDefault="00E17B40" w:rsidP="00371C61">
            <w:pPr>
              <w:pStyle w:val="Tabletext"/>
            </w:pPr>
            <w:r w:rsidRPr="00280BF9">
              <w:t>1.1 Investment pipeline developed to create proof-of-concept on solutions contributing to production, protection, and inclusion targets established under NICFI-IDH Partnership Program.</w:t>
            </w:r>
          </w:p>
          <w:p w14:paraId="08C0B248" w14:textId="65526111" w:rsidR="00E17B40" w:rsidRPr="00280BF9" w:rsidRDefault="00E17B40" w:rsidP="00371C61">
            <w:pPr>
              <w:pStyle w:val="Tabletext"/>
            </w:pPr>
            <w:r w:rsidRPr="00280BF9">
              <w:t xml:space="preserve">1.2 US$ 24 million (of which, $2 million are from GEF) invested through the </w:t>
            </w:r>
            <w:r w:rsidR="00005AAD" w:rsidRPr="00280BF9">
              <w:t>&amp;Green Fund</w:t>
            </w:r>
            <w:r w:rsidRPr="00280BF9">
              <w:t xml:space="preserve"> to de-risk commercial financing of agricultural production in exchange for a landscape protection plan (LPP) outlining on- and off concession forest and peat protection or restoration. </w:t>
            </w:r>
          </w:p>
          <w:p w14:paraId="6384309F" w14:textId="383924E4" w:rsidR="00E17B40" w:rsidRPr="00280BF9" w:rsidRDefault="0097743C" w:rsidP="00371C61">
            <w:pPr>
              <w:pStyle w:val="Tabletext"/>
            </w:pPr>
            <w:r w:rsidRPr="00280BF9">
              <w:t>1.3 Negotiations with mainstream finance institutions and development finance institutions completed to leverage non-fund capital for public good outcomes in terms of enhanced forest protection and livelihoods of local communities</w:t>
            </w:r>
          </w:p>
          <w:p w14:paraId="3E27C895" w14:textId="77777777" w:rsidR="00E17B40" w:rsidRPr="00280BF9" w:rsidRDefault="00E17B40" w:rsidP="00371C61">
            <w:pPr>
              <w:pStyle w:val="Tabletext"/>
            </w:pPr>
            <w:r w:rsidRPr="00280BF9">
              <w:t>1.4 A system for monitoring the impact performance is created (satellite imagery, field inspections, interviews, and reports) to verify and track conservation performance.</w:t>
            </w:r>
          </w:p>
          <w:p w14:paraId="58A21D0E" w14:textId="614A3401" w:rsidR="008C44FD" w:rsidRPr="00280BF9" w:rsidRDefault="008C44FD" w:rsidP="00371C61">
            <w:pPr>
              <w:pStyle w:val="Tabletext"/>
            </w:pPr>
          </w:p>
        </w:tc>
      </w:tr>
      <w:tr w:rsidR="00416858" w:rsidRPr="00B672CA" w14:paraId="365524F7" w14:textId="77777777" w:rsidTr="00371C61">
        <w:tc>
          <w:tcPr>
            <w:tcW w:w="1908" w:type="dxa"/>
          </w:tcPr>
          <w:p w14:paraId="4725513D" w14:textId="476B183E" w:rsidR="00416858" w:rsidRPr="00B672CA" w:rsidRDefault="00416858" w:rsidP="00371C61">
            <w:pPr>
              <w:pStyle w:val="Tabletext"/>
            </w:pPr>
            <w:r w:rsidRPr="00B672CA">
              <w:rPr>
                <w:b/>
              </w:rPr>
              <w:t>Global benefits:</w:t>
            </w:r>
            <w:r w:rsidRPr="00B672CA">
              <w:t xml:space="preserve"> These estimates have changed since the PIF as described to the right. </w:t>
            </w:r>
          </w:p>
        </w:tc>
        <w:tc>
          <w:tcPr>
            <w:tcW w:w="4230" w:type="dxa"/>
          </w:tcPr>
          <w:p w14:paraId="5C98A0F6" w14:textId="36F722B6" w:rsidR="00416858" w:rsidRPr="00B672CA" w:rsidRDefault="00416858" w:rsidP="00371C61">
            <w:pPr>
              <w:pStyle w:val="Tabletext"/>
            </w:pPr>
            <w:r w:rsidRPr="00B672CA">
              <w:rPr>
                <w:u w:val="single"/>
              </w:rPr>
              <w:t>Forest cover directly protected</w:t>
            </w:r>
            <w:r w:rsidRPr="00B672CA">
              <w:t xml:space="preserve"> (including reforested): 250,000 ha</w:t>
            </w:r>
          </w:p>
          <w:p w14:paraId="1F271F39" w14:textId="74859A7C" w:rsidR="00416858" w:rsidRPr="00B672CA" w:rsidRDefault="00416858" w:rsidP="00371C61">
            <w:pPr>
              <w:pStyle w:val="Tabletext"/>
            </w:pPr>
            <w:r w:rsidRPr="00B672CA">
              <w:t>Sustainable production: 84,000 ha</w:t>
            </w:r>
          </w:p>
          <w:p w14:paraId="3AE58395" w14:textId="44846D66" w:rsidR="00416858" w:rsidRPr="00B672CA" w:rsidRDefault="00416858" w:rsidP="00371C61">
            <w:pPr>
              <w:pStyle w:val="Tabletext"/>
            </w:pPr>
            <w:r w:rsidRPr="00B672CA">
              <w:t>tCO2e mitigated: 222,600</w:t>
            </w:r>
          </w:p>
          <w:p w14:paraId="7FFD5FF8" w14:textId="69A11BBB" w:rsidR="008C44FD" w:rsidRPr="00B672CA" w:rsidRDefault="008C44FD" w:rsidP="00371C61">
            <w:pPr>
              <w:pStyle w:val="Tabletext"/>
            </w:pPr>
            <w:r w:rsidRPr="00B672CA">
              <w:t>Indirectly avoided deforestation: 180,000 ha</w:t>
            </w:r>
          </w:p>
          <w:p w14:paraId="7DAA6D18" w14:textId="77777777" w:rsidR="00416858" w:rsidRPr="00B672CA" w:rsidRDefault="00416858" w:rsidP="00371C61">
            <w:pPr>
              <w:pStyle w:val="Tabletext"/>
            </w:pPr>
          </w:p>
        </w:tc>
        <w:tc>
          <w:tcPr>
            <w:tcW w:w="4770" w:type="dxa"/>
          </w:tcPr>
          <w:p w14:paraId="0B946C77" w14:textId="303AD2CF" w:rsidR="008C44FD" w:rsidRPr="00B672CA" w:rsidRDefault="008C44FD" w:rsidP="00371C61">
            <w:pPr>
              <w:pStyle w:val="Tabletext"/>
            </w:pPr>
            <w:r w:rsidRPr="00B672CA">
              <w:t xml:space="preserve">Since PIF approval, the </w:t>
            </w:r>
            <w:r w:rsidR="00005AAD" w:rsidRPr="00B672CA">
              <w:t>&amp;Green Fund</w:t>
            </w:r>
            <w:r w:rsidRPr="00B672CA">
              <w:t xml:space="preserve"> has finalized its outcome targets and key performance indicators (KPIs) as articulated in its Lending Policy. These targets have been used to estimate the global environmental benefits of the GEF contribution to the </w:t>
            </w:r>
            <w:r w:rsidR="00005AAD" w:rsidRPr="00B672CA">
              <w:t>&amp;Green Fund</w:t>
            </w:r>
            <w:r w:rsidRPr="00B672CA">
              <w:t>.</w:t>
            </w:r>
          </w:p>
          <w:p w14:paraId="4D1FC362" w14:textId="46E3B053" w:rsidR="00416858" w:rsidRPr="00B672CA" w:rsidRDefault="00416858" w:rsidP="00371C61">
            <w:pPr>
              <w:pStyle w:val="Tabletext"/>
            </w:pPr>
            <w:r w:rsidRPr="00B672CA">
              <w:rPr>
                <w:u w:val="single"/>
              </w:rPr>
              <w:t>Forest cover directly protected</w:t>
            </w:r>
            <w:r w:rsidRPr="00B672CA">
              <w:t xml:space="preserve"> (including reforested): 258,000 ha </w:t>
            </w:r>
          </w:p>
          <w:p w14:paraId="1AE29DAE" w14:textId="7734F8B6" w:rsidR="00416858" w:rsidRPr="00B672CA" w:rsidRDefault="008C44FD" w:rsidP="00371C61">
            <w:pPr>
              <w:pStyle w:val="Tabletext"/>
            </w:pPr>
            <w:r w:rsidRPr="00B672CA">
              <w:t>Sustainable production: 186,000 ha</w:t>
            </w:r>
          </w:p>
          <w:p w14:paraId="0813C3F6" w14:textId="0BA78F6C" w:rsidR="00416858" w:rsidRPr="00B672CA" w:rsidRDefault="008C44FD" w:rsidP="00371C61">
            <w:pPr>
              <w:pStyle w:val="Tabletext"/>
            </w:pPr>
            <w:r w:rsidRPr="00B672CA">
              <w:rPr>
                <w:u w:val="single"/>
              </w:rPr>
              <w:t>tCO2e mitigated:</w:t>
            </w:r>
            <w:r w:rsidRPr="00B672CA">
              <w:t xml:space="preserve"> </w:t>
            </w:r>
            <w:r w:rsidR="00416858" w:rsidRPr="00B672CA">
              <w:fldChar w:fldCharType="begin"/>
            </w:r>
            <w:r w:rsidR="00416858" w:rsidRPr="00B672CA">
              <w:instrText xml:space="preserve"> =SUM(LEFT) </w:instrText>
            </w:r>
            <w:r w:rsidR="00416858" w:rsidRPr="00B672CA">
              <w:fldChar w:fldCharType="separate"/>
            </w:r>
            <w:r w:rsidR="00416858" w:rsidRPr="00B672CA">
              <w:t>45 mill. tons</w:t>
            </w:r>
            <w:r w:rsidR="00416858" w:rsidRPr="00B672CA">
              <w:fldChar w:fldCharType="end"/>
            </w:r>
            <w:r w:rsidR="00416858" w:rsidRPr="00B672CA">
              <w:t xml:space="preserve"> of CO2e mitigated from intensification of agricultural lands and conservation of HCV/HCS forests</w:t>
            </w:r>
            <w:r w:rsidRPr="00B672CA">
              <w:t xml:space="preserve"> (see explanation for change in row below)</w:t>
            </w:r>
          </w:p>
          <w:p w14:paraId="0E282D0E" w14:textId="3C3C296D" w:rsidR="008C44FD" w:rsidRPr="00B672CA" w:rsidRDefault="008C44FD" w:rsidP="00371C61">
            <w:pPr>
              <w:pStyle w:val="Tabletext"/>
            </w:pPr>
            <w:r w:rsidRPr="00B672CA">
              <w:t>Indirectly avoided deforestation: no change</w:t>
            </w:r>
          </w:p>
        </w:tc>
      </w:tr>
      <w:tr w:rsidR="00AC0A18" w:rsidRPr="00B672CA" w14:paraId="14F1479F" w14:textId="77777777" w:rsidTr="00371C61">
        <w:tc>
          <w:tcPr>
            <w:tcW w:w="1908" w:type="dxa"/>
          </w:tcPr>
          <w:p w14:paraId="2C1933EF" w14:textId="34ECB263" w:rsidR="00AC0A18" w:rsidRPr="00B672CA" w:rsidRDefault="00AC0A18" w:rsidP="00371C61">
            <w:pPr>
              <w:pStyle w:val="Tabletext"/>
            </w:pPr>
            <w:r w:rsidRPr="00B672CA">
              <w:rPr>
                <w:b/>
              </w:rPr>
              <w:t>Carbon emissions reductions</w:t>
            </w:r>
            <w:r w:rsidR="00E17B40" w:rsidRPr="00B672CA">
              <w:t>:</w:t>
            </w:r>
            <w:r w:rsidR="00CA6195" w:rsidRPr="00B672CA">
              <w:t xml:space="preserve"> These have been revised as explained.</w:t>
            </w:r>
          </w:p>
        </w:tc>
        <w:tc>
          <w:tcPr>
            <w:tcW w:w="4230" w:type="dxa"/>
          </w:tcPr>
          <w:p w14:paraId="5DEA1770" w14:textId="60CAE19B" w:rsidR="00AC0A18" w:rsidRPr="00B672CA" w:rsidRDefault="00CA6195" w:rsidP="00371C61">
            <w:pPr>
              <w:pStyle w:val="Tabletext"/>
            </w:pPr>
            <w:r w:rsidRPr="00B672CA">
              <w:t>At the PIF stage, back-of-the-envelope estimates were made focusing only on the sustainable agricultural production aspects (using very conservative assumptions about the mitigation potential of sustainable cropland management technologies in tCO</w:t>
            </w:r>
            <w:r w:rsidRPr="00B672CA">
              <w:rPr>
                <w:vertAlign w:val="subscript"/>
              </w:rPr>
              <w:t>2</w:t>
            </w:r>
            <w:r w:rsidRPr="00B672CA">
              <w:t xml:space="preserve">e/ ha/ yr). </w:t>
            </w:r>
            <w:r w:rsidR="007953FE" w:rsidRPr="00B672CA">
              <w:t xml:space="preserve">The estimation was over a 5 year period. </w:t>
            </w:r>
            <w:r w:rsidR="00EA10BD" w:rsidRPr="00B672CA">
              <w:t xml:space="preserve">No estimates were made for HCV/ HCS forest protection. </w:t>
            </w:r>
            <w:r w:rsidRPr="00B672CA">
              <w:t>Total reduction was estimated at 222,600 tCO2e</w:t>
            </w:r>
            <w:r w:rsidR="00EA10BD" w:rsidRPr="00B672CA">
              <w:t>.</w:t>
            </w:r>
          </w:p>
        </w:tc>
        <w:tc>
          <w:tcPr>
            <w:tcW w:w="4770" w:type="dxa"/>
          </w:tcPr>
          <w:p w14:paraId="789205B1" w14:textId="1CDF5FA3" w:rsidR="00EA10BD" w:rsidRPr="00B672CA" w:rsidRDefault="00CA6195" w:rsidP="00371C61">
            <w:pPr>
              <w:pStyle w:val="Tabletext"/>
            </w:pPr>
            <w:r w:rsidRPr="00B672CA">
              <w:t xml:space="preserve">These estimates have been revised using the FAO EX-ACT tool and capturing the significant emissions reductions that are expected to be achieved through conservation of high carbon storage and high conservation value forests as part of the investment agreements under the project. </w:t>
            </w:r>
            <w:r w:rsidR="007953FE" w:rsidRPr="00B672CA">
              <w:t>The estimation is over a 20 year period, as recommended by the tool. .</w:t>
            </w:r>
            <w:r w:rsidRPr="00B672CA">
              <w:t>Estimated total reduction: 45 million tons of CO</w:t>
            </w:r>
            <w:r w:rsidRPr="00B672CA">
              <w:rPr>
                <w:vertAlign w:val="subscript"/>
              </w:rPr>
              <w:t>2</w:t>
            </w:r>
            <w:r w:rsidRPr="00B672CA">
              <w:t>e</w:t>
            </w:r>
            <w:r w:rsidR="00EA10BD" w:rsidRPr="00B672CA">
              <w:t>.</w:t>
            </w:r>
          </w:p>
        </w:tc>
      </w:tr>
      <w:tr w:rsidR="00B03D75" w:rsidRPr="00B672CA" w14:paraId="46D3E654" w14:textId="77777777" w:rsidTr="00371C61">
        <w:tc>
          <w:tcPr>
            <w:tcW w:w="1908" w:type="dxa"/>
          </w:tcPr>
          <w:p w14:paraId="19E98B2A" w14:textId="27B7322A" w:rsidR="00B03D75" w:rsidRPr="00B672CA" w:rsidRDefault="00B03D75" w:rsidP="00371C61">
            <w:pPr>
              <w:pStyle w:val="Tabletext"/>
            </w:pPr>
            <w:r w:rsidRPr="00B672CA">
              <w:t>Questions A.1 –A.7 in Part II</w:t>
            </w:r>
          </w:p>
        </w:tc>
        <w:tc>
          <w:tcPr>
            <w:tcW w:w="4230" w:type="dxa"/>
          </w:tcPr>
          <w:p w14:paraId="2F8C9CAE" w14:textId="74A4E992" w:rsidR="00B03D75" w:rsidRPr="00B672CA" w:rsidRDefault="00B03D75" w:rsidP="00371C61">
            <w:pPr>
              <w:pStyle w:val="Tabletext"/>
            </w:pPr>
            <w:r w:rsidRPr="00B672CA">
              <w:t xml:space="preserve">The PIF text </w:t>
            </w:r>
            <w:r w:rsidR="00ED54AE" w:rsidRPr="00B672CA">
              <w:t xml:space="preserve">included </w:t>
            </w:r>
            <w:r w:rsidRPr="00B672CA">
              <w:t xml:space="preserve">as much detail as was known at that time about the fund through which investments are to be made. The fund was called “PPI Fund” (for production protection inclusion fund). The title is now </w:t>
            </w:r>
            <w:r w:rsidR="00005AAD" w:rsidRPr="00B672CA">
              <w:t>&amp;Green Fund</w:t>
            </w:r>
            <w:r w:rsidRPr="00B672CA">
              <w:t>.</w:t>
            </w:r>
          </w:p>
        </w:tc>
        <w:tc>
          <w:tcPr>
            <w:tcW w:w="4770" w:type="dxa"/>
          </w:tcPr>
          <w:p w14:paraId="4063918F" w14:textId="566D3A13" w:rsidR="00B03D75" w:rsidRPr="00B672CA" w:rsidRDefault="00B03D75" w:rsidP="00371C61">
            <w:pPr>
              <w:pStyle w:val="Tabletext"/>
            </w:pPr>
            <w:r w:rsidRPr="00B672CA">
              <w:t xml:space="preserve">The text in the PIF has been strengthened mainly by adding more detailed information that became available during the PPG phase. For example, since the PIF was approved, the </w:t>
            </w:r>
            <w:r w:rsidR="00005AAD" w:rsidRPr="00B672CA">
              <w:t>&amp;Green Fund</w:t>
            </w:r>
            <w:r w:rsidRPr="00B672CA">
              <w:t xml:space="preserve"> has been officially established and has articulated its Lending Policy and Environmental and Social Management System. Sections A.1-A.7 are replicated in full here as this will serve as the project document for the implementing agency (UN</w:t>
            </w:r>
            <w:r w:rsidRPr="00B672CA">
              <w:rPr>
                <w:lang w:val="en-US"/>
              </w:rPr>
              <w:t xml:space="preserve"> Environment</w:t>
            </w:r>
            <w:r w:rsidRPr="00B672CA">
              <w:t>) and the executing partner</w:t>
            </w:r>
            <w:r w:rsidRPr="00B672CA">
              <w:rPr>
                <w:lang w:val="en-US"/>
              </w:rPr>
              <w:t>s</w:t>
            </w:r>
            <w:r w:rsidRPr="00B672CA">
              <w:t xml:space="preserve"> (IDH</w:t>
            </w:r>
            <w:r w:rsidRPr="00B672CA">
              <w:rPr>
                <w:lang w:val="en-US"/>
              </w:rPr>
              <w:t xml:space="preserve"> and </w:t>
            </w:r>
            <w:r w:rsidR="00005AAD" w:rsidRPr="00B672CA">
              <w:rPr>
                <w:lang w:val="en-US"/>
              </w:rPr>
              <w:t>&amp;Green Fund</w:t>
            </w:r>
            <w:r w:rsidRPr="00B672CA">
              <w:rPr>
                <w:lang w:val="en-US"/>
              </w:rPr>
              <w:t>).</w:t>
            </w:r>
          </w:p>
        </w:tc>
      </w:tr>
      <w:tr w:rsidR="005A7F39" w:rsidRPr="00B672CA" w14:paraId="13A754A0" w14:textId="77777777" w:rsidTr="00371C61">
        <w:tc>
          <w:tcPr>
            <w:tcW w:w="1908" w:type="dxa"/>
          </w:tcPr>
          <w:p w14:paraId="6AD55EFA" w14:textId="15663C3E" w:rsidR="005A7F39" w:rsidRPr="00B672CA" w:rsidRDefault="005A7F39" w:rsidP="00371C61">
            <w:pPr>
              <w:pStyle w:val="Tabletext"/>
            </w:pPr>
            <w:r w:rsidRPr="00B672CA">
              <w:t>Cofinancing (increased slightly as indicated to the right)</w:t>
            </w:r>
          </w:p>
        </w:tc>
        <w:tc>
          <w:tcPr>
            <w:tcW w:w="4230" w:type="dxa"/>
          </w:tcPr>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1116"/>
            </w:tblGrid>
            <w:tr w:rsidR="005A7F39" w:rsidRPr="00B672CA" w14:paraId="0FD3D1D0" w14:textId="77777777" w:rsidTr="005A7F39">
              <w:trPr>
                <w:cantSplit/>
              </w:trPr>
              <w:tc>
                <w:tcPr>
                  <w:tcW w:w="1964" w:type="pct"/>
                  <w:tcBorders>
                    <w:top w:val="single" w:sz="4" w:space="0" w:color="auto"/>
                    <w:left w:val="single" w:sz="4" w:space="0" w:color="auto"/>
                    <w:bottom w:val="single" w:sz="4" w:space="0" w:color="auto"/>
                    <w:right w:val="single" w:sz="4" w:space="0" w:color="auto"/>
                  </w:tcBorders>
                  <w:hideMark/>
                </w:tcPr>
                <w:p w14:paraId="1B23AF86" w14:textId="14C47533" w:rsidR="005A7F39" w:rsidRPr="00B672CA" w:rsidRDefault="005A7F39" w:rsidP="00371C61">
                  <w:pPr>
                    <w:pStyle w:val="Tabletext"/>
                  </w:pPr>
                  <w:r w:rsidRPr="00B672CA">
                    <w:t xml:space="preserve">NICFI </w:t>
                  </w:r>
                  <w:r w:rsidRPr="00B672CA">
                    <w:fldChar w:fldCharType="begin">
                      <w:ffData>
                        <w:name w:val="TblC_CofinType_01"/>
                        <w:enabled/>
                        <w:calcOnExit w:val="0"/>
                        <w:ddList>
                          <w:result w:val="1"/>
                          <w:listEntry w:val="(select)"/>
                          <w:listEntry w:val="Grants"/>
                          <w:listEntry w:val="Loans"/>
                          <w:listEntry w:val="Equity"/>
                          <w:listEntry w:val="Guarantees"/>
                          <w:listEntry w:val="In-kind"/>
                        </w:ddList>
                      </w:ffData>
                    </w:fldChar>
                  </w:r>
                  <w:r w:rsidRPr="00B672CA">
                    <w:instrText xml:space="preserve"> FORMDROPDOWN </w:instrText>
                  </w:r>
                  <w:r w:rsidR="0004701D">
                    <w:fldChar w:fldCharType="separate"/>
                  </w:r>
                  <w:r w:rsidRPr="00B672CA">
                    <w:fldChar w:fldCharType="end"/>
                  </w:r>
                  <w:r w:rsidRPr="00B672CA">
                    <w:t xml:space="preserve"> (</w:t>
                  </w:r>
                  <w:r w:rsidRPr="00B672CA">
                    <w:rPr>
                      <w:sz w:val="18"/>
                      <w:szCs w:val="18"/>
                    </w:rPr>
                    <w:t>for the PPIF)</w:t>
                  </w:r>
                </w:p>
              </w:tc>
              <w:tc>
                <w:tcPr>
                  <w:tcW w:w="582" w:type="pct"/>
                  <w:tcBorders>
                    <w:top w:val="single" w:sz="4" w:space="0" w:color="auto"/>
                    <w:left w:val="single" w:sz="4" w:space="0" w:color="auto"/>
                    <w:bottom w:val="single" w:sz="4" w:space="0" w:color="auto"/>
                    <w:right w:val="single" w:sz="4" w:space="0" w:color="auto"/>
                  </w:tcBorders>
                  <w:hideMark/>
                </w:tcPr>
                <w:p w14:paraId="43117575" w14:textId="77777777" w:rsidR="005A7F39" w:rsidRPr="00B672CA" w:rsidRDefault="005A7F39" w:rsidP="00371C61">
                  <w:pPr>
                    <w:pStyle w:val="Tabletext"/>
                  </w:pPr>
                  <w:r w:rsidRPr="00B672CA">
                    <w:t>22,000,000</w:t>
                  </w:r>
                </w:p>
              </w:tc>
            </w:tr>
            <w:tr w:rsidR="005A7F39" w:rsidRPr="00B672CA" w14:paraId="2CB41CE0" w14:textId="77777777" w:rsidTr="005A7F39">
              <w:trPr>
                <w:cantSplit/>
              </w:trPr>
              <w:tc>
                <w:tcPr>
                  <w:tcW w:w="1964" w:type="pct"/>
                  <w:tcBorders>
                    <w:top w:val="single" w:sz="4" w:space="0" w:color="auto"/>
                    <w:left w:val="single" w:sz="4" w:space="0" w:color="auto"/>
                    <w:bottom w:val="single" w:sz="4" w:space="0" w:color="auto"/>
                    <w:right w:val="single" w:sz="4" w:space="0" w:color="auto"/>
                  </w:tcBorders>
                  <w:hideMark/>
                </w:tcPr>
                <w:p w14:paraId="4C24D6E7" w14:textId="4FD0E55E" w:rsidR="005A7F39" w:rsidRPr="00B672CA" w:rsidRDefault="005A7F39" w:rsidP="00371C61">
                  <w:pPr>
                    <w:pStyle w:val="Tabletext"/>
                  </w:pPr>
                  <w:r w:rsidRPr="00B672CA">
                    <w:t xml:space="preserve">NICFI </w:t>
                  </w:r>
                  <w:r w:rsidRPr="00B672CA">
                    <w:fldChar w:fldCharType="begin">
                      <w:ffData>
                        <w:name w:val="TblC_CofinType_02"/>
                        <w:enabled/>
                        <w:calcOnExit w:val="0"/>
                        <w:ddList>
                          <w:result w:val="1"/>
                          <w:listEntry w:val="(select)"/>
                          <w:listEntry w:val="Grants"/>
                          <w:listEntry w:val="Loans"/>
                          <w:listEntry w:val="Equity"/>
                          <w:listEntry w:val="Guarantees"/>
                          <w:listEntry w:val="In-kind"/>
                        </w:ddList>
                      </w:ffData>
                    </w:fldChar>
                  </w:r>
                  <w:r w:rsidRPr="00B672CA">
                    <w:instrText xml:space="preserve"> FORMDROPDOWN </w:instrText>
                  </w:r>
                  <w:r w:rsidR="0004701D">
                    <w:fldChar w:fldCharType="separate"/>
                  </w:r>
                  <w:r w:rsidRPr="00B672CA">
                    <w:fldChar w:fldCharType="end"/>
                  </w:r>
                  <w:r w:rsidRPr="00B672CA">
                    <w:t xml:space="preserve"> (for convening activities of the NICFI-IDH Partnership Program described in the baseline section)</w:t>
                  </w:r>
                </w:p>
              </w:tc>
              <w:tc>
                <w:tcPr>
                  <w:tcW w:w="582" w:type="pct"/>
                  <w:tcBorders>
                    <w:top w:val="single" w:sz="4" w:space="0" w:color="auto"/>
                    <w:left w:val="single" w:sz="4" w:space="0" w:color="auto"/>
                    <w:bottom w:val="single" w:sz="4" w:space="0" w:color="auto"/>
                    <w:right w:val="single" w:sz="4" w:space="0" w:color="auto"/>
                  </w:tcBorders>
                  <w:hideMark/>
                </w:tcPr>
                <w:p w14:paraId="3C553A8E" w14:textId="77777777" w:rsidR="005A7F39" w:rsidRPr="00B672CA" w:rsidRDefault="005A7F39" w:rsidP="00371C61">
                  <w:pPr>
                    <w:pStyle w:val="Tabletext"/>
                  </w:pPr>
                  <w:r w:rsidRPr="00B672CA">
                    <w:t>30,000,000</w:t>
                  </w:r>
                </w:p>
              </w:tc>
            </w:tr>
            <w:tr w:rsidR="005A7F39" w:rsidRPr="00B672CA" w14:paraId="0AA8B67F" w14:textId="77777777" w:rsidTr="005A7F39">
              <w:trPr>
                <w:cantSplit/>
              </w:trPr>
              <w:tc>
                <w:tcPr>
                  <w:tcW w:w="1964" w:type="pct"/>
                  <w:tcBorders>
                    <w:top w:val="single" w:sz="4" w:space="0" w:color="auto"/>
                    <w:left w:val="single" w:sz="4" w:space="0" w:color="auto"/>
                    <w:bottom w:val="single" w:sz="4" w:space="0" w:color="auto"/>
                    <w:right w:val="single" w:sz="4" w:space="0" w:color="auto"/>
                  </w:tcBorders>
                </w:tcPr>
                <w:p w14:paraId="16CCF214" w14:textId="056DE2D5" w:rsidR="005A7F39" w:rsidRPr="00B672CA" w:rsidRDefault="005A7F39" w:rsidP="00371C61">
                  <w:pPr>
                    <w:pStyle w:val="Tabletext"/>
                  </w:pPr>
                  <w:r w:rsidRPr="00B672CA">
                    <w:t>Total</w:t>
                  </w:r>
                </w:p>
              </w:tc>
              <w:tc>
                <w:tcPr>
                  <w:tcW w:w="582" w:type="pct"/>
                  <w:tcBorders>
                    <w:top w:val="single" w:sz="4" w:space="0" w:color="auto"/>
                    <w:left w:val="single" w:sz="4" w:space="0" w:color="auto"/>
                    <w:bottom w:val="single" w:sz="4" w:space="0" w:color="auto"/>
                    <w:right w:val="single" w:sz="4" w:space="0" w:color="auto"/>
                  </w:tcBorders>
                </w:tcPr>
                <w:p w14:paraId="4F6FAF66" w14:textId="2AF89D43" w:rsidR="005A7F39"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52,000,000</w:t>
                  </w:r>
                  <w:r w:rsidRPr="00B672CA">
                    <w:fldChar w:fldCharType="end"/>
                  </w:r>
                </w:p>
              </w:tc>
            </w:tr>
          </w:tbl>
          <w:p w14:paraId="16A99B74" w14:textId="77777777" w:rsidR="005A7F39" w:rsidRPr="00B672CA" w:rsidRDefault="005A7F39" w:rsidP="00371C61">
            <w:pPr>
              <w:pStyle w:val="Tabletext"/>
            </w:pPr>
          </w:p>
        </w:tc>
        <w:tc>
          <w:tcPr>
            <w:tcW w:w="4770" w:type="dxa"/>
          </w:tcPr>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1"/>
              <w:gridCol w:w="1116"/>
            </w:tblGrid>
            <w:tr w:rsidR="005A7F39" w:rsidRPr="00B672CA" w14:paraId="311BBFFB" w14:textId="77777777" w:rsidTr="0019393D">
              <w:trPr>
                <w:cantSplit/>
              </w:trPr>
              <w:tc>
                <w:tcPr>
                  <w:tcW w:w="1964" w:type="pct"/>
                  <w:tcBorders>
                    <w:top w:val="single" w:sz="4" w:space="0" w:color="auto"/>
                    <w:left w:val="single" w:sz="4" w:space="0" w:color="auto"/>
                    <w:bottom w:val="single" w:sz="4" w:space="0" w:color="auto"/>
                    <w:right w:val="single" w:sz="4" w:space="0" w:color="auto"/>
                  </w:tcBorders>
                  <w:hideMark/>
                </w:tcPr>
                <w:p w14:paraId="210FEF7E" w14:textId="5A46412D" w:rsidR="005A7F39" w:rsidRPr="00B672CA" w:rsidRDefault="00371C61" w:rsidP="00371C61">
                  <w:pPr>
                    <w:pStyle w:val="Tabletext"/>
                  </w:pPr>
                  <w:r w:rsidRPr="00B672CA">
                    <w:t>&amp;Green</w:t>
                  </w:r>
                </w:p>
              </w:tc>
              <w:tc>
                <w:tcPr>
                  <w:tcW w:w="582" w:type="pct"/>
                  <w:tcBorders>
                    <w:top w:val="single" w:sz="4" w:space="0" w:color="auto"/>
                    <w:left w:val="single" w:sz="4" w:space="0" w:color="auto"/>
                    <w:bottom w:val="single" w:sz="4" w:space="0" w:color="auto"/>
                    <w:right w:val="single" w:sz="4" w:space="0" w:color="auto"/>
                  </w:tcBorders>
                  <w:hideMark/>
                </w:tcPr>
                <w:p w14:paraId="7B637210" w14:textId="02D78B22" w:rsidR="005A7F39" w:rsidRPr="00B672CA" w:rsidRDefault="005A7F39" w:rsidP="00371C61">
                  <w:pPr>
                    <w:pStyle w:val="Tabletext"/>
                  </w:pPr>
                  <w:r w:rsidRPr="00B672CA">
                    <w:t>25,000,000</w:t>
                  </w:r>
                </w:p>
              </w:tc>
            </w:tr>
            <w:tr w:rsidR="005A7F39" w:rsidRPr="00B672CA" w14:paraId="5602CA2D" w14:textId="77777777" w:rsidTr="0019393D">
              <w:trPr>
                <w:cantSplit/>
              </w:trPr>
              <w:tc>
                <w:tcPr>
                  <w:tcW w:w="1964" w:type="pct"/>
                  <w:tcBorders>
                    <w:top w:val="single" w:sz="4" w:space="0" w:color="auto"/>
                    <w:left w:val="single" w:sz="4" w:space="0" w:color="auto"/>
                    <w:bottom w:val="single" w:sz="4" w:space="0" w:color="auto"/>
                    <w:right w:val="single" w:sz="4" w:space="0" w:color="auto"/>
                  </w:tcBorders>
                  <w:hideMark/>
                </w:tcPr>
                <w:p w14:paraId="10A0D6E1" w14:textId="77777777" w:rsidR="005A7F39" w:rsidRPr="00B672CA" w:rsidRDefault="005A7F39" w:rsidP="00371C61">
                  <w:pPr>
                    <w:pStyle w:val="Tabletext"/>
                  </w:pPr>
                  <w:r w:rsidRPr="00B672CA">
                    <w:t xml:space="preserve">NICFI </w:t>
                  </w:r>
                  <w:r w:rsidRPr="00B672CA">
                    <w:fldChar w:fldCharType="begin">
                      <w:ffData>
                        <w:name w:val="TblC_CofinType_02"/>
                        <w:enabled/>
                        <w:calcOnExit w:val="0"/>
                        <w:ddList>
                          <w:result w:val="1"/>
                          <w:listEntry w:val="(select)"/>
                          <w:listEntry w:val="Grants"/>
                          <w:listEntry w:val="Loans"/>
                          <w:listEntry w:val="Equity"/>
                          <w:listEntry w:val="Guarantees"/>
                          <w:listEntry w:val="In-kind"/>
                        </w:ddList>
                      </w:ffData>
                    </w:fldChar>
                  </w:r>
                  <w:r w:rsidRPr="00B672CA">
                    <w:instrText xml:space="preserve"> FORMDROPDOWN </w:instrText>
                  </w:r>
                  <w:r w:rsidR="0004701D">
                    <w:fldChar w:fldCharType="separate"/>
                  </w:r>
                  <w:r w:rsidRPr="00B672CA">
                    <w:fldChar w:fldCharType="end"/>
                  </w:r>
                  <w:r w:rsidRPr="00B672CA">
                    <w:t xml:space="preserve"> (for convening activities of the NICFI-IDH Partnership Program described in the baseline section)</w:t>
                  </w:r>
                </w:p>
              </w:tc>
              <w:tc>
                <w:tcPr>
                  <w:tcW w:w="582" w:type="pct"/>
                  <w:tcBorders>
                    <w:top w:val="single" w:sz="4" w:space="0" w:color="auto"/>
                    <w:left w:val="single" w:sz="4" w:space="0" w:color="auto"/>
                    <w:bottom w:val="single" w:sz="4" w:space="0" w:color="auto"/>
                    <w:right w:val="single" w:sz="4" w:space="0" w:color="auto"/>
                  </w:tcBorders>
                  <w:hideMark/>
                </w:tcPr>
                <w:p w14:paraId="05602F4A" w14:textId="2CB3E60B" w:rsidR="005A7F39" w:rsidRPr="00B672CA" w:rsidRDefault="005A7F39" w:rsidP="00371C61">
                  <w:pPr>
                    <w:pStyle w:val="Tabletext"/>
                  </w:pPr>
                  <w:r w:rsidRPr="00B672CA">
                    <w:t>27,518,998</w:t>
                  </w:r>
                </w:p>
              </w:tc>
            </w:tr>
            <w:tr w:rsidR="005A7F39" w:rsidRPr="00B672CA" w14:paraId="37AF3A7D" w14:textId="77777777" w:rsidTr="0019393D">
              <w:trPr>
                <w:cantSplit/>
              </w:trPr>
              <w:tc>
                <w:tcPr>
                  <w:tcW w:w="1964" w:type="pct"/>
                  <w:tcBorders>
                    <w:top w:val="single" w:sz="4" w:space="0" w:color="auto"/>
                    <w:left w:val="single" w:sz="4" w:space="0" w:color="auto"/>
                    <w:bottom w:val="single" w:sz="4" w:space="0" w:color="auto"/>
                    <w:right w:val="single" w:sz="4" w:space="0" w:color="auto"/>
                  </w:tcBorders>
                </w:tcPr>
                <w:p w14:paraId="44130534" w14:textId="77777777" w:rsidR="005A7F39" w:rsidRPr="00B672CA" w:rsidRDefault="005A7F39" w:rsidP="00371C61">
                  <w:pPr>
                    <w:pStyle w:val="Tabletext"/>
                  </w:pPr>
                  <w:r w:rsidRPr="00B672CA">
                    <w:t>Total</w:t>
                  </w:r>
                </w:p>
              </w:tc>
              <w:tc>
                <w:tcPr>
                  <w:tcW w:w="582" w:type="pct"/>
                  <w:tcBorders>
                    <w:top w:val="single" w:sz="4" w:space="0" w:color="auto"/>
                    <w:left w:val="single" w:sz="4" w:space="0" w:color="auto"/>
                    <w:bottom w:val="single" w:sz="4" w:space="0" w:color="auto"/>
                    <w:right w:val="single" w:sz="4" w:space="0" w:color="auto"/>
                  </w:tcBorders>
                </w:tcPr>
                <w:p w14:paraId="28BB621A" w14:textId="3AD98B88" w:rsidR="005A7F39" w:rsidRPr="00B672CA" w:rsidRDefault="005A7F39" w:rsidP="00371C61">
                  <w:pPr>
                    <w:pStyle w:val="Tabletext"/>
                  </w:pPr>
                  <w:r w:rsidRPr="00B672CA">
                    <w:fldChar w:fldCharType="begin"/>
                  </w:r>
                  <w:r w:rsidRPr="00B672CA">
                    <w:instrText xml:space="preserve"> =SUM(ABOVE) </w:instrText>
                  </w:r>
                  <w:r w:rsidRPr="00B672CA">
                    <w:fldChar w:fldCharType="separate"/>
                  </w:r>
                  <w:r w:rsidRPr="00B672CA">
                    <w:rPr>
                      <w:noProof/>
                    </w:rPr>
                    <w:t>52,518,998</w:t>
                  </w:r>
                  <w:r w:rsidRPr="00B672CA">
                    <w:fldChar w:fldCharType="end"/>
                  </w:r>
                </w:p>
              </w:tc>
            </w:tr>
          </w:tbl>
          <w:p w14:paraId="03BD63B9" w14:textId="77777777" w:rsidR="005A7F39" w:rsidRPr="00B672CA" w:rsidRDefault="005A7F39" w:rsidP="00371C61">
            <w:pPr>
              <w:pStyle w:val="Tabletext"/>
            </w:pPr>
          </w:p>
        </w:tc>
      </w:tr>
    </w:tbl>
    <w:p w14:paraId="2BAC4112" w14:textId="77777777" w:rsidR="00D25D40" w:rsidRPr="00B672CA" w:rsidRDefault="00D25D40" w:rsidP="00DE1086">
      <w:pPr>
        <w:pStyle w:val="Heading1"/>
        <w:rPr>
          <w:lang w:val="en-US"/>
        </w:rPr>
      </w:pPr>
      <w:r w:rsidRPr="00B672CA">
        <w:rPr>
          <w:lang w:val="en-US"/>
        </w:rPr>
        <w:t>A.1. Project Description</w:t>
      </w:r>
    </w:p>
    <w:p w14:paraId="0A4916B9" w14:textId="77777777" w:rsidR="00D25D40" w:rsidRPr="00B672CA" w:rsidRDefault="00D25D40" w:rsidP="00D25D40">
      <w:pPr>
        <w:pStyle w:val="Heading2"/>
      </w:pPr>
      <w:r w:rsidRPr="00B672CA">
        <w:t>A.1.1 The global environmental problems, root causes and barriers that need to be addressed</w:t>
      </w:r>
    </w:p>
    <w:p w14:paraId="30F9801D" w14:textId="77777777" w:rsidR="00D25D40" w:rsidRPr="00B672CA" w:rsidRDefault="00D25D40" w:rsidP="00D25D40">
      <w:pPr>
        <w:pStyle w:val="Heading3"/>
        <w:rPr>
          <w:lang w:val="en-US"/>
        </w:rPr>
      </w:pPr>
      <w:r w:rsidRPr="00B672CA">
        <w:rPr>
          <w:lang w:val="en-US"/>
        </w:rPr>
        <w:t>Environmental problems</w:t>
      </w:r>
    </w:p>
    <w:p w14:paraId="6EB4A842" w14:textId="607EB22D" w:rsidR="00D25D40" w:rsidRPr="00B672CA" w:rsidRDefault="00D25D40" w:rsidP="00B37DAC">
      <w:pPr>
        <w:pStyle w:val="Para"/>
      </w:pPr>
      <w:r w:rsidRPr="00B672CA">
        <w:t>Forests are a vital natural resource, covering approximately 31 percent of global land surface</w:t>
      </w:r>
      <w:r w:rsidRPr="00B672CA">
        <w:rPr>
          <w:rStyle w:val="FootnoteReference"/>
          <w:sz w:val="21"/>
          <w:szCs w:val="21"/>
        </w:rPr>
        <w:footnoteReference w:id="10"/>
      </w:r>
      <w:r w:rsidRPr="00B672CA">
        <w:t>, storing at least 289 gigatons of carbon</w:t>
      </w:r>
      <w:r w:rsidRPr="00B672CA">
        <w:rPr>
          <w:rStyle w:val="FootnoteReference"/>
          <w:sz w:val="21"/>
          <w:szCs w:val="21"/>
        </w:rPr>
        <w:footnoteReference w:id="11"/>
      </w:r>
      <w:r w:rsidRPr="00B672CA">
        <w:t>, and directly supporting the livelihoods of more than 1.5 billion people. Nevertheless, about 7.6 million ha of tropical forest are lost every year. Tropical deforestation is one of the biggest challenges of our times, as it threatens the biodiversity of the planet and is a major contributor to carbon emissions. Deforestation leads to land degradation which is a major factor in the progressive deterioration of ecosystem services affecting agro-ecosystems and forest landscapes globally. The loss of forests, and the accompanying loss of ecosystems and the services they provide, threatens the security and livelihoods of local communities, reduces access to clean water, decreases soil productivity</w:t>
      </w:r>
      <w:r w:rsidR="00AC5C94" w:rsidRPr="00B672CA">
        <w:t>, and</w:t>
      </w:r>
      <w:r w:rsidR="002454B7" w:rsidRPr="00B672CA">
        <w:t>, furthermore,</w:t>
      </w:r>
      <w:r w:rsidR="00AC5C94" w:rsidRPr="00B672CA">
        <w:t xml:space="preserve"> </w:t>
      </w:r>
      <w:r w:rsidR="002454B7" w:rsidRPr="00B672CA">
        <w:t xml:space="preserve">greenhouse gas emissions from agriculture, forestry and other land uses (AFOLU) are estimated to account for between 20 to 24% of total global emissions </w:t>
      </w:r>
      <w:r w:rsidR="001C463F" w:rsidRPr="00B672CA">
        <w:t>per annum</w:t>
      </w:r>
      <w:r w:rsidR="002454B7" w:rsidRPr="00B672CA">
        <w:rPr>
          <w:rStyle w:val="FootnoteReference"/>
        </w:rPr>
        <w:footnoteReference w:id="12"/>
      </w:r>
      <w:r w:rsidRPr="00B672CA">
        <w:t>. This situation is mirrored in the three countries where the target landscapes of the proposed project lie. (The seven target landscapes are – Brazil: (i) the State of Mato Grosso; Indonesia: (ii) South Sumatra and Jambi, (iii) West Kalimantan, and (iv) Aceh; Liberia: (v) the South East Landscape, (vi) the Western Landscape, and (vii) the Nimba Landscape. More detailed information on the target l</w:t>
      </w:r>
      <w:r w:rsidR="00101D6E" w:rsidRPr="00B672CA">
        <w:t>andscapes is provided in Annex E</w:t>
      </w:r>
      <w:r w:rsidR="00745090" w:rsidRPr="00B672CA">
        <w:t>.</w:t>
      </w:r>
    </w:p>
    <w:p w14:paraId="23A7D002" w14:textId="78514AA5" w:rsidR="00D25D40" w:rsidRPr="00B672CA" w:rsidRDefault="00D25D40" w:rsidP="00B37DAC">
      <w:pPr>
        <w:pStyle w:val="Para"/>
      </w:pPr>
      <w:r w:rsidRPr="00B672CA">
        <w:rPr>
          <w:b/>
        </w:rPr>
        <w:t>Brazil</w:t>
      </w:r>
      <w:r w:rsidRPr="00B672CA">
        <w:t xml:space="preserve"> holds about one-third of the world's remaining rainforests, including a majority of the Amazon rainforest. Terrestrially speaking, it is also the most biodiverse country on Earth, with more than 56,000 described species of plants, 1,700 species of birds, 695 amphibians, 578 mammals, and 651 reptiles. The Amazon basin has experienced an exceptional extent of forest loss over the past two generations. An area exceeding 760,000 square kilometers, or about 19 percent of its total surface area of 4,005,082 square kilometers, has been cleared in the Amazon since 1970. </w:t>
      </w:r>
      <w:r w:rsidR="00922EB7" w:rsidRPr="00B672CA">
        <w:t>Following years of continuous reduction in forest loss until 2012, deforestation progressively increased from 4,500 km</w:t>
      </w:r>
      <w:r w:rsidR="00922EB7" w:rsidRPr="00B672CA">
        <w:rPr>
          <w:vertAlign w:val="superscript"/>
        </w:rPr>
        <w:t>2</w:t>
      </w:r>
      <w:r w:rsidR="00922EB7" w:rsidRPr="00B672CA">
        <w:t xml:space="preserve"> in 2012 to almost 8,000 km</w:t>
      </w:r>
      <w:r w:rsidR="00922EB7" w:rsidRPr="00B672CA">
        <w:rPr>
          <w:vertAlign w:val="superscript"/>
        </w:rPr>
        <w:t>2</w:t>
      </w:r>
      <w:r w:rsidR="00922EB7" w:rsidRPr="00B672CA">
        <w:t xml:space="preserve"> in 2016. </w:t>
      </w:r>
      <w:r w:rsidRPr="00B672CA">
        <w:t xml:space="preserve">According to </w:t>
      </w:r>
      <w:r w:rsidR="00AC4DDF" w:rsidRPr="00B672CA">
        <w:t xml:space="preserve">preliminary numbers released by Brazil’s National Space Research Institute INPE at the end of 2016, </w:t>
      </w:r>
      <w:r w:rsidR="00922EB7" w:rsidRPr="00B672CA">
        <w:t xml:space="preserve">7,989 square kilometers of rainforest were destroyed between August 2015 and July 2016. This suggests that the </w:t>
      </w:r>
      <w:r w:rsidR="00AC4DDF" w:rsidRPr="00B672CA">
        <w:t>annual rate of primary forest loss in the Brazilian Amazon has climbed 75 percent over its 2012 level, which was the lowest since annual record keeping began in 1988.</w:t>
      </w:r>
      <w:r w:rsidR="00922EB7" w:rsidRPr="00B672CA">
        <w:t xml:space="preserve"> Last year’s deforestation was concentrated in the states of Para (38 percent), Mato Grosso (19 percent), and Rondônia (17 percent), which account for much of the region’s cattle and soy production</w:t>
      </w:r>
      <w:r w:rsidR="00922EB7" w:rsidRPr="00B672CA">
        <w:rPr>
          <w:rStyle w:val="FootnoteReference"/>
          <w:color w:val="222222"/>
          <w:shd w:val="clear" w:color="auto" w:fill="FFFFFF"/>
        </w:rPr>
        <w:footnoteReference w:id="13"/>
      </w:r>
      <w:r w:rsidR="00922EB7" w:rsidRPr="00B672CA">
        <w:rPr>
          <w:color w:val="222222"/>
          <w:shd w:val="clear" w:color="auto" w:fill="FFFFFF"/>
        </w:rPr>
        <w:t>.</w:t>
      </w:r>
      <w:r w:rsidRPr="00B672CA">
        <w:t xml:space="preserve"> </w:t>
      </w:r>
    </w:p>
    <w:p w14:paraId="77E3A315" w14:textId="1A3D5AB4" w:rsidR="00D25D40" w:rsidRPr="00B672CA" w:rsidRDefault="00D25D40" w:rsidP="00B37DAC">
      <w:pPr>
        <w:pStyle w:val="Para"/>
      </w:pPr>
      <w:r w:rsidRPr="00B672CA">
        <w:rPr>
          <w:b/>
          <w:bCs/>
        </w:rPr>
        <w:t>Indonesia</w:t>
      </w:r>
      <w:r w:rsidRPr="00B672CA">
        <w:t xml:space="preserve"> is endowed with some of the most extensive and biologically diverse tropical forests in the world. Millions of Indonesians depend on forests for their livelihood. The forests house rich flora and fauna biodiversity. Even today, almost every ecological expedition that sets out to explore Indonesia's tropical forests returns with discoveries of new species. The primary forest cover loss for the period 2000-2012 is about 6.02 million ha</w:t>
      </w:r>
      <w:r w:rsidR="001C463F" w:rsidRPr="00B672CA">
        <w:t>, with annual losses increasing over this period</w:t>
      </w:r>
      <w:r w:rsidRPr="00B672CA">
        <w:t>.</w:t>
      </w:r>
      <w:r w:rsidR="001C463F" w:rsidRPr="00B672CA">
        <w:rPr>
          <w:rStyle w:val="FootnoteReference"/>
          <w:sz w:val="21"/>
          <w:szCs w:val="21"/>
        </w:rPr>
        <w:footnoteReference w:id="14"/>
      </w:r>
      <w:r w:rsidRPr="00B672CA">
        <w:t xml:space="preserve"> Proportional loss of primary forests in wetland land forms increased, and almost all clearing of primary forests occurred within degraded types</w:t>
      </w:r>
      <w:r w:rsidRPr="00B672CA">
        <w:rPr>
          <w:rStyle w:val="FootnoteReference"/>
          <w:sz w:val="21"/>
          <w:szCs w:val="21"/>
        </w:rPr>
        <w:footnoteReference w:id="15"/>
      </w:r>
      <w:r w:rsidRPr="00B672CA">
        <w:t>, meaning logging preceded conversion processes. Indonesia has 12,477 million metric tons of carbon stocks in living forest biomass. According to FAO data, 61.6% of GHG emissions in Indonesia came from land-use change and forestry in 2011</w:t>
      </w:r>
      <w:r w:rsidRPr="00B672CA">
        <w:rPr>
          <w:rStyle w:val="FootnoteReference"/>
          <w:sz w:val="21"/>
          <w:szCs w:val="21"/>
        </w:rPr>
        <w:footnoteReference w:id="16"/>
      </w:r>
      <w:r w:rsidRPr="00B672CA">
        <w:t>.</w:t>
      </w:r>
    </w:p>
    <w:p w14:paraId="72F44BF8" w14:textId="55019663" w:rsidR="00D25D40" w:rsidRPr="00B672CA" w:rsidRDefault="00D25D40" w:rsidP="00B37DAC">
      <w:pPr>
        <w:pStyle w:val="Para"/>
      </w:pPr>
      <w:r w:rsidRPr="00B672CA">
        <w:rPr>
          <w:b/>
          <w:bCs/>
        </w:rPr>
        <w:t>Liberia’s</w:t>
      </w:r>
      <w:r w:rsidRPr="00B672CA">
        <w:t xml:space="preserve"> tropical rainforest covers about 4.32 million hectares and accounts for approximately 45 percent of the land area. The majority of Liberia’s forest cover is found in two blocks - northwest (semi-deciduous forest) and southeast (evergreen forest). Moreover, Liberia is situated in the fragmented band of forest known as the ‘Upper Guinean Forest’ that is one of the two most significant forest blocks in Africa, the other being the ‘Congolese Forest’.</w:t>
      </w:r>
      <w:r w:rsidRPr="00B672CA">
        <w:rPr>
          <w:rStyle w:val="FootnoteReference"/>
          <w:sz w:val="21"/>
          <w:szCs w:val="21"/>
        </w:rPr>
        <w:footnoteReference w:id="17"/>
      </w:r>
      <w:r w:rsidRPr="00B672CA">
        <w:t xml:space="preserve"> Between 1980 and 2005, forest area has reduced by 22% (FAO, 2005), suggesting an average annual rate of deforestation of 0.9%. A 2008 forest change analysis in Liberia performed by a partnership between the Forestry Development Authority (FDA), Conservation International, and South Dakota State University suggests the average deforestation rate increased from 0.2% in 1986-2000 (Christie and others, 2007) to 0.35% in 2000-2006 (R-PIN for REDD, 2008).</w:t>
      </w:r>
      <w:r w:rsidRPr="00B672CA">
        <w:rPr>
          <w:rStyle w:val="FootnoteReference"/>
          <w:sz w:val="21"/>
          <w:szCs w:val="21"/>
        </w:rPr>
        <w:footnoteReference w:id="18"/>
      </w:r>
      <w:r w:rsidR="00E32302" w:rsidRPr="00B672CA">
        <w:t xml:space="preserve"> According to FAO, the d</w:t>
      </w:r>
      <w:r w:rsidRPr="00B672CA">
        <w:t>eforestation rate in Liberia was 30</w:t>
      </w:r>
      <w:r w:rsidR="00E32302" w:rsidRPr="00B672CA">
        <w:t xml:space="preserve">,000 </w:t>
      </w:r>
      <w:r w:rsidRPr="00B672CA">
        <w:t>ha/year in 2010</w:t>
      </w:r>
      <w:r w:rsidR="00E32302" w:rsidRPr="00B672CA">
        <w:rPr>
          <w:rStyle w:val="FootnoteReference"/>
        </w:rPr>
        <w:footnoteReference w:id="19"/>
      </w:r>
      <w:r w:rsidRPr="00B672CA">
        <w:t>. The forestry sector contributed US$ 159.7 million to the economy in 2011, which is approximately 15.2% of the GDP</w:t>
      </w:r>
      <w:r w:rsidRPr="00B672CA">
        <w:rPr>
          <w:rStyle w:val="FootnoteReference"/>
          <w:sz w:val="21"/>
          <w:szCs w:val="21"/>
        </w:rPr>
        <w:footnoteReference w:id="20"/>
      </w:r>
      <w:r w:rsidRPr="00B672CA">
        <w:t>. According to FAO data, 89.8% of GHG emissions in this country came from land-use change and forestry in 2011. Liberia has 583 million metric tons of carbon stocks in living forest biomass.</w:t>
      </w:r>
    </w:p>
    <w:p w14:paraId="2113664D" w14:textId="0BDF082A" w:rsidR="00D25D40" w:rsidRPr="00B672CA" w:rsidRDefault="00D25D40" w:rsidP="00B37DAC">
      <w:pPr>
        <w:pStyle w:val="Para"/>
      </w:pPr>
      <w:r w:rsidRPr="00B672CA">
        <w:t xml:space="preserve">In recent years, it has become apparent that the most significant threat to the world’s remaining </w:t>
      </w:r>
      <w:r w:rsidR="00E72577" w:rsidRPr="00B672CA">
        <w:t xml:space="preserve">tropical </w:t>
      </w:r>
      <w:r w:rsidRPr="00B672CA">
        <w:t xml:space="preserve">forests is conversion for commercial agriculture and other non-forest uses. Agriculture alone accounts for over 70 percent of all deforestation across tropical and sub-tropical countries (Hosonuma and others, 2012), but with geographical differences in the role played by commercial agriculture versus subsistence agriculture (Kissinger and others, 2012). Commercial actors are playing an increasingly larger role in the expansion of agriculture into forests and for many countries commercial agriculture is dominant over subsistence agriculture (Boucher and others, 2011). Agribusinesses, increasingly producing for international markets (cattle ranching, soybean farming, and oil palm plantations), were identified as the main drivers of post-1990 deforestation (Rudel and others, 2009; Boucher and others, 2011). Many of the environmental benefits of intact forests are unpriced ‘externalities’, resulting in the market mispricing natural forest assets. By converting forest to land and then producing tradeable commodities that the market can price, land users are able to take advantage of this perceived arbitrage opportunity. Anticipated global economic growth and changing diets will strengthen the demand for agricultural commodities and place additional pressure on forests in the foreseeable future, meaning that the pressure will get even bigger than it is today without a changing paradigm of how land is managed and agricultural commodities are produced. The challenge is to develop business models that can manage sustainable commodity production, while also maintaining forests and forest ecosystem services. </w:t>
      </w:r>
    </w:p>
    <w:p w14:paraId="00485F89" w14:textId="1974C42B" w:rsidR="00D25D40" w:rsidRPr="00B672CA" w:rsidRDefault="00D25D40" w:rsidP="00B37DAC">
      <w:pPr>
        <w:pStyle w:val="Para"/>
      </w:pPr>
      <w:r w:rsidRPr="00B672CA">
        <w:t>Until recently, forest protection and agricultural development were two separate worlds. Forests were the world of governments, NGOs and public (climate) finance, while agriculture expansion and growth was the world of banks, business and development finance. Fortunately, this</w:t>
      </w:r>
      <w:r w:rsidR="00197CE9" w:rsidRPr="00B672CA">
        <w:t xml:space="preserve"> appears to be </w:t>
      </w:r>
      <w:r w:rsidRPr="00B672CA">
        <w:t>changing. A growing number of industries and individual companies acknowledge that diminishing exposure to deforestation and other material risks is in their collective self-interest that requires them to reduce environmental damage.</w:t>
      </w:r>
      <w:r w:rsidRPr="00B672CA">
        <w:rPr>
          <w:rStyle w:val="FootnoteReference"/>
          <w:sz w:val="21"/>
          <w:szCs w:val="21"/>
        </w:rPr>
        <w:footnoteReference w:id="21"/>
      </w:r>
      <w:r w:rsidRPr="00B672CA">
        <w:t xml:space="preserve"> Pledges such as the ‘zero net deforestation pledge’ and ‘zero deforestation pledge’</w:t>
      </w:r>
      <w:r w:rsidRPr="00B672CA">
        <w:rPr>
          <w:rStyle w:val="FootnoteReference"/>
          <w:sz w:val="21"/>
          <w:szCs w:val="21"/>
        </w:rPr>
        <w:footnoteReference w:id="22"/>
      </w:r>
      <w:r w:rsidRPr="00B672CA">
        <w:t xml:space="preserve"> are increasingly being adopted at industry-level to stimulate sector peers to take action. The Consumer Goods Forum</w:t>
      </w:r>
      <w:r w:rsidR="00197CE9" w:rsidRPr="00B672CA">
        <w:t xml:space="preserve"> (CGF)</w:t>
      </w:r>
      <w:r w:rsidRPr="00B672CA">
        <w:t xml:space="preserve"> – an association of over 400 large retailers, manufacturers, and service providers across 70 countries with combined sales of around US$ 3 trillion – recommends that members adopt a policy of ‘zero net deforestation’ in their supply chains by 2020.</w:t>
      </w:r>
      <w:r w:rsidRPr="00B672CA">
        <w:rPr>
          <w:rStyle w:val="FootnoteReference"/>
          <w:sz w:val="21"/>
          <w:szCs w:val="21"/>
        </w:rPr>
        <w:footnoteReference w:id="23"/>
      </w:r>
      <w:r w:rsidR="00E72577" w:rsidRPr="00B672CA">
        <w:t xml:space="preserve"> However, it is important to place this into context as well. The leadership </w:t>
      </w:r>
      <w:r w:rsidR="00197CE9" w:rsidRPr="00B672CA">
        <w:t xml:space="preserve">of </w:t>
      </w:r>
      <w:r w:rsidR="00E72577" w:rsidRPr="00B672CA">
        <w:t xml:space="preserve">the </w:t>
      </w:r>
      <w:r w:rsidR="00197CE9" w:rsidRPr="00B672CA">
        <w:t xml:space="preserve">CGF </w:t>
      </w:r>
      <w:r w:rsidR="00E72577" w:rsidRPr="00B672CA">
        <w:t>is critical to stimulate companies to adopt zero (net) deforestation policies, but overall, it appears that progress is too slow to achieve the 2020 target for zero net deforestation that many (upstream) consumer goods companies have committed themselves to (G</w:t>
      </w:r>
      <w:r w:rsidR="00197CE9" w:rsidRPr="00B672CA">
        <w:t>lobal Canopy Programme</w:t>
      </w:r>
      <w:r w:rsidR="00E72577" w:rsidRPr="00B672CA">
        <w:t xml:space="preserve">, 2016). A recent analysis found that 25% of </w:t>
      </w:r>
      <w:r w:rsidR="00197CE9" w:rsidRPr="00B672CA">
        <w:t xml:space="preserve">CGF </w:t>
      </w:r>
      <w:r w:rsidR="00E72577" w:rsidRPr="00B672CA">
        <w:t xml:space="preserve">members had internalized policies and procedures requiring suppliers to provide them with products that did not lead to net forest loss (Bregman 2016). But this also means that 75% have not done </w:t>
      </w:r>
      <w:r w:rsidR="00197CE9" w:rsidRPr="00B672CA">
        <w:t>so</w:t>
      </w:r>
      <w:r w:rsidR="00E72577" w:rsidRPr="00B672CA">
        <w:t xml:space="preserve">. In addition, only 5% of agribusiness firms that are not </w:t>
      </w:r>
      <w:r w:rsidR="00197CE9" w:rsidRPr="00B672CA">
        <w:t xml:space="preserve">CGF </w:t>
      </w:r>
      <w:r w:rsidR="00E72577" w:rsidRPr="00B672CA">
        <w:t xml:space="preserve">members have put such zero net deforestation policies in place. </w:t>
      </w:r>
      <w:r w:rsidR="00197CE9" w:rsidRPr="00B672CA">
        <w:t>Furthermore</w:t>
      </w:r>
      <w:r w:rsidR="00E72577" w:rsidRPr="00B672CA">
        <w:t>, there is even less information on the level of implementation of these policies on the ground in terms of the effect this is having on combating deforestation</w:t>
      </w:r>
      <w:r w:rsidR="00197CE9" w:rsidRPr="00B672CA">
        <w:t>.</w:t>
      </w:r>
    </w:p>
    <w:p w14:paraId="7385A9C9" w14:textId="77777777" w:rsidR="00D25D40" w:rsidRPr="00B672CA" w:rsidRDefault="00D25D40" w:rsidP="00D25D40">
      <w:pPr>
        <w:pStyle w:val="Heading3"/>
        <w:rPr>
          <w:lang w:val="en-US"/>
        </w:rPr>
      </w:pPr>
      <w:r w:rsidRPr="00B672CA">
        <w:rPr>
          <w:lang w:val="en-US"/>
        </w:rPr>
        <w:t>Barriers</w:t>
      </w:r>
    </w:p>
    <w:p w14:paraId="69CF8BDD" w14:textId="35D99868" w:rsidR="00D25D40" w:rsidRPr="00B672CA" w:rsidRDefault="00D25D40" w:rsidP="00B37DAC">
      <w:pPr>
        <w:pStyle w:val="Para"/>
      </w:pPr>
      <w:r w:rsidRPr="00B672CA">
        <w:t xml:space="preserve">The long term solution for addressing the continuing loss of forests due to agro-commodities production in the </w:t>
      </w:r>
      <w:r w:rsidR="002C2D01" w:rsidRPr="00B672CA">
        <w:t xml:space="preserve">7 </w:t>
      </w:r>
      <w:r w:rsidRPr="00B672CA">
        <w:t>target landscapes is to transform finance and business models in mainstream markets such that they sustain land-use practices in which increased production of agro-commodities contributes to the protection of forests and the inclusion of smallholders and forest communities in the economy over a long period of time. This is referred to as Production, Protection, and Inclusion (PPI) land use. However, a number of barriers prevent the enactment of this vision.</w:t>
      </w:r>
    </w:p>
    <w:p w14:paraId="2F97A664" w14:textId="02A0AC61" w:rsidR="00B005C7" w:rsidRPr="00B672CA" w:rsidRDefault="00D25D40" w:rsidP="00B37DAC">
      <w:pPr>
        <w:pStyle w:val="Para"/>
      </w:pPr>
      <w:r w:rsidRPr="00B672CA">
        <w:rPr>
          <w:i/>
          <w:u w:val="single"/>
        </w:rPr>
        <w:t>Barrier 1: Absence of a conducive (regulatory) environment for PPI land use to be scaled up:</w:t>
      </w:r>
      <w:r w:rsidRPr="00B672CA">
        <w:rPr>
          <w:i/>
        </w:rPr>
        <w:t xml:space="preserve">  </w:t>
      </w:r>
      <w:r w:rsidRPr="00B672CA">
        <w:t>In order to attract increased levels of responsible foreign direct investment</w:t>
      </w:r>
      <w:r w:rsidR="00814E83" w:rsidRPr="00B672CA">
        <w:t xml:space="preserve"> </w:t>
      </w:r>
      <w:r w:rsidR="000A5E70" w:rsidRPr="00B672CA">
        <w:t>(</w:t>
      </w:r>
      <w:r w:rsidR="002C2D01" w:rsidRPr="00B672CA">
        <w:t>and</w:t>
      </w:r>
      <w:r w:rsidR="00814E83" w:rsidRPr="00B672CA">
        <w:t xml:space="preserve"> also redirect capital from domestic finance institutions</w:t>
      </w:r>
      <w:r w:rsidR="000A5E70" w:rsidRPr="00B672CA">
        <w:t>)</w:t>
      </w:r>
      <w:r w:rsidR="00814E83" w:rsidRPr="00B672CA">
        <w:t xml:space="preserve"> towards sustainable land use</w:t>
      </w:r>
      <w:r w:rsidRPr="00B672CA">
        <w:t xml:space="preserve"> t</w:t>
      </w:r>
      <w:r w:rsidR="00F514DB" w:rsidRPr="00B672CA">
        <w:t>hat</w:t>
      </w:r>
      <w:r w:rsidRPr="00B672CA">
        <w:t xml:space="preserve"> support</w:t>
      </w:r>
      <w:r w:rsidR="00F514DB" w:rsidRPr="00B672CA">
        <w:t>s</w:t>
      </w:r>
      <w:r w:rsidRPr="00B672CA">
        <w:t xml:space="preserve"> emission reduction goals and forest </w:t>
      </w:r>
      <w:r w:rsidR="00C52429" w:rsidRPr="00B672CA">
        <w:t xml:space="preserve">protection and restoration </w:t>
      </w:r>
      <w:r w:rsidRPr="00B672CA">
        <w:t xml:space="preserve">goals, there is a need for the different </w:t>
      </w:r>
      <w:r w:rsidR="00814E83" w:rsidRPr="00B672CA">
        <w:t xml:space="preserve">economic </w:t>
      </w:r>
      <w:r w:rsidRPr="00B672CA">
        <w:t>sectors and government departments to come up with a clear vision and road map on how to integrate increased production, protection of forest resources, and inclusive management at a landscape level. The lack of proper land use planning does not directly cause land use conflicts, but it contributes to an environment in which land use practices, land rights and future plans are not transparent, nor agreed upon, so they become highly contested. Although local decision makers are aware of the environmental problems in their region, the available local or national financial resources do not act as an incentive for shifting to a more sustainable development path. To ensure uptake of PPI land use by different sectors and government departments, it is important to clearly articulate the expected job creation opportunities and tax benefits for regions if they follow such a path. Supportive conditions in policy and markets need to be created</w:t>
      </w:r>
      <w:r w:rsidR="007F2669" w:rsidRPr="00B672CA">
        <w:t>, and perverse policies and incentives</w:t>
      </w:r>
      <w:r w:rsidR="007F2669" w:rsidRPr="00B672CA">
        <w:rPr>
          <w:rStyle w:val="FootnoteReference"/>
        </w:rPr>
        <w:footnoteReference w:id="24"/>
      </w:r>
      <w:r w:rsidR="007F2669" w:rsidRPr="00B672CA">
        <w:t xml:space="preserve"> need to be removed</w:t>
      </w:r>
      <w:r w:rsidRPr="00B672CA">
        <w:t>. This includes agreement by multiple stakeholders (supply chain companies, local governments, communities and civil society) to a shared agenda for PPI, and to hold one another accountable. Further, to translate such a vision into reality, PPI partnerships need to be formed and the concept proved to be viable. Central and local government need to improve enforcement and regulation to facilitate the uptake of potential private sector-financed PPI agreements. Responsible investors have no incentive to reach out to local government if the regulatory and enforcement environment do not provide the necessary conditions to facilitate the uptake of such private sector finance. Sustainable land-use needs to be incentivized by the policy and stakeholder environment in which the companies operate. Sustainable land use is impossible to achieve without the commitment and endorsement from the local authorities in the landscape. There needs to be a basic level of public governance providing command-and-control protection of nature, land and customary rights, spatial planning, smallholder support, and a general enabling environment. Service delivery models are the mechanisms or structures in which support services are channeled through a supply chain to improve performance and value creation. There is scant availability of these services that combine production, protection and inclusion in the targeted landscapes, or even outside. This barrier will be addressed by the NICFI-IDH Partnership Program’s convening mechanism (see description under baseline section)</w:t>
      </w:r>
      <w:r w:rsidR="00C455C8" w:rsidRPr="00B672CA">
        <w:t xml:space="preserve">, as well as by </w:t>
      </w:r>
      <w:r w:rsidR="00814E83" w:rsidRPr="00B672CA">
        <w:t>other policy-focused initiatives like the UN-REDD Programme</w:t>
      </w:r>
      <w:r w:rsidRPr="00B672CA">
        <w:t>.</w:t>
      </w:r>
    </w:p>
    <w:p w14:paraId="013A0E51" w14:textId="24D60B0C" w:rsidR="007F2669" w:rsidRPr="00B672CA" w:rsidRDefault="007F2669" w:rsidP="00B37DAC">
      <w:pPr>
        <w:pStyle w:val="Para"/>
      </w:pPr>
      <w:r w:rsidRPr="00B672CA">
        <w:rPr>
          <w:i/>
          <w:u w:val="single"/>
        </w:rPr>
        <w:t>Barrier 2: Limited private sector finance for PPI and SLM</w:t>
      </w:r>
      <w:r w:rsidRPr="00B672CA">
        <w:t>: Many of the environmental benefits of intact forest are unpriced ‘externalities’, resulting in the market mispricing natural forest assets by effectively putting a value of $0 on the broad range of forest ecosystem services such as climate, water and nutrient regulation, prevention of soil erosion, etc. (except for timber and some non-wood forest products for which there are markets where these are priced). The market mispricing of many forest ecosystem services results in forests being converted to other forms of land use, and then producing tradeable commodities (crops, mineral, metals, etc.) that the market can price. Crucially, at present private sector investments remain focused on increasing commodity production through expansion of the existing production area into pristine (tropical) forests and the majority of the large banks lend to companies with high forest impacts. Investment in soft commodity production (including palm oil, soy, and beef) by some estimates is US$ 1.</w:t>
      </w:r>
      <w:r w:rsidR="00C52429" w:rsidRPr="00B672CA">
        <w:t xml:space="preserve">7 </w:t>
      </w:r>
      <w:r w:rsidRPr="00B672CA">
        <w:t>trillion and the annual value of trade in soft commodities is</w:t>
      </w:r>
      <w:r w:rsidR="00C52429" w:rsidRPr="00B672CA">
        <w:t xml:space="preserve"> in the range of</w:t>
      </w:r>
      <w:r w:rsidRPr="00B672CA">
        <w:t xml:space="preserve"> US$ 135 billion. This is several orders of magnitude higher than (predominantly public and private philanthropic) investment in </w:t>
      </w:r>
      <w:r w:rsidR="00C52429" w:rsidRPr="00B672CA">
        <w:t>land-use related climate finance</w:t>
      </w:r>
      <w:r w:rsidRPr="00B672CA">
        <w:t xml:space="preserve"> (around US$ 5.8 billion</w:t>
      </w:r>
      <w:r w:rsidR="00C52429" w:rsidRPr="00B672CA">
        <w:t xml:space="preserve"> in 2014</w:t>
      </w:r>
      <w:r w:rsidRPr="00B672CA">
        <w:t xml:space="preserve">). Despite an increasingly broad public consensus about the need for action, there appears to be a disconnect between the urgency of the need to finance the transition towards a green and inclusive economy on one hand, and actual practice on the part of institutions comprising the financial system (i.e., lenders, borrowers, and intermediaries) on the other. This is because private finance operates independently of intergovernmental processes, and responds instead to real-time market signals, guided by the need to maximize expected return within existing policy and regulatory frameworks. Therefore, limited favorable incentives on regulation and economics (for example, initial deforestation can pay for the expenditure to plant new palm trees, the fact that land tenure is not clarified and hence there is no incentive to plant on existing degraded land, and agricultural intensification through various forms of inputs and training is costly) lead to limited private sector funding for ‘sustainable production’, which in this context means a lower impact on forests than the business-as-usual model. The most significant barrier to private capital flows in agricultural investments that have potential to protect forests and improve livelihoods of communities is that returns are often not proportionate to the level of perceived risks, which tend to be much higher than in more mature markets, given often weak regulatory frameworks and enabling environments. A dedicated funding mechanism needs to be established that can demonstrate a financing model that achieves forest conservation in commercially productive landscapes: a different paradigm in which land can be managed to address both the need to reduce food insecurity and improve agricultural value added (i.e. contribution to a country’s GDP) on the one hand, but at the same time adhere to sustainable development goals, such as reducing degraded land, tackling climate change, and reducing biodiversity loss. In practice, this means making more effective use of existing agricultural land as well as (re)using degraded land, instead of continuing to fuel a business model that is based on converting (tropical) forests. As yet, there are </w:t>
      </w:r>
      <w:r w:rsidR="00C52429" w:rsidRPr="00B672CA">
        <w:t xml:space="preserve">very few </w:t>
      </w:r>
      <w:r w:rsidRPr="00B672CA">
        <w:t xml:space="preserve">inclusive business cases that demonstrate the beneficial social and environmental impacts that can be realized with proper financial planning. In the seven target landscapes of the proposed project, since there </w:t>
      </w:r>
      <w:r w:rsidR="00C52429" w:rsidRPr="00B672CA">
        <w:t xml:space="preserve">is a market need for </w:t>
      </w:r>
      <w:r w:rsidRPr="00B672CA">
        <w:t xml:space="preserve">funding mechanisms that reduce </w:t>
      </w:r>
      <w:r w:rsidR="00C52429" w:rsidRPr="00B672CA">
        <w:t xml:space="preserve">credit </w:t>
      </w:r>
      <w:r w:rsidRPr="00B672CA">
        <w:t xml:space="preserve">risk exposure </w:t>
      </w:r>
      <w:r w:rsidR="00C52429" w:rsidRPr="00B672CA">
        <w:t xml:space="preserve">for private financiers </w:t>
      </w:r>
      <w:r w:rsidRPr="00B672CA">
        <w:t xml:space="preserve">and make risk-adjusted returns in line with </w:t>
      </w:r>
      <w:r w:rsidR="00C52429" w:rsidRPr="00B672CA">
        <w:t xml:space="preserve">bank and </w:t>
      </w:r>
      <w:r w:rsidRPr="00B672CA">
        <w:t>investor requirements to make these PPI investments financially attractive opportunities</w:t>
      </w:r>
      <w:r w:rsidR="00C52429" w:rsidRPr="00B672CA">
        <w:t xml:space="preserve">. Without that, </w:t>
      </w:r>
      <w:r w:rsidRPr="00B672CA">
        <w:t xml:space="preserve">banks and investors </w:t>
      </w:r>
      <w:r w:rsidR="00C52429" w:rsidRPr="00B672CA">
        <w:t xml:space="preserve">will </w:t>
      </w:r>
      <w:r w:rsidRPr="00B672CA">
        <w:t>not allocate capital to these emerging and frontier markets</w:t>
      </w:r>
      <w:r w:rsidR="00C52429" w:rsidRPr="00B672CA">
        <w:t xml:space="preserve"> according to sustainable production principles where reduced deforestation and restoration are an integral part of a loan agreement</w:t>
      </w:r>
      <w:r w:rsidRPr="00B672CA">
        <w:t>.</w:t>
      </w:r>
    </w:p>
    <w:p w14:paraId="2100224C" w14:textId="01FA9E34" w:rsidR="00D25D40" w:rsidRPr="00B672CA" w:rsidRDefault="00D25D40" w:rsidP="00D25D40">
      <w:pPr>
        <w:pStyle w:val="Heading2"/>
      </w:pPr>
      <w:r w:rsidRPr="00B672CA">
        <w:t>A.1.2 The baseline scenario and any associated baseline projects</w:t>
      </w:r>
    </w:p>
    <w:p w14:paraId="1D307702" w14:textId="0ADB12D9" w:rsidR="00D25D40" w:rsidRPr="00B672CA" w:rsidRDefault="00D25D40" w:rsidP="00B37DAC">
      <w:pPr>
        <w:pStyle w:val="Para"/>
      </w:pPr>
      <w:r w:rsidRPr="00B672CA">
        <w:t xml:space="preserve">Both </w:t>
      </w:r>
      <w:r w:rsidR="00817998" w:rsidRPr="00B672CA">
        <w:t xml:space="preserve">agribusinesses along the </w:t>
      </w:r>
      <w:r w:rsidRPr="00B672CA">
        <w:t xml:space="preserve">supply chain </w:t>
      </w:r>
      <w:r w:rsidR="00817998" w:rsidRPr="00B672CA">
        <w:t xml:space="preserve">as well as a growing number of </w:t>
      </w:r>
      <w:r w:rsidRPr="00B672CA">
        <w:t>financial institutions are calling for for</w:t>
      </w:r>
      <w:r w:rsidRPr="00B672CA">
        <w:softHyphen/>
        <w:t>est conservation from their suppliers and clients respectively, adding further weight to its significance. International coalitions like the Consumer Goods Forum (CGF)</w:t>
      </w:r>
      <w:r w:rsidR="00817998" w:rsidRPr="00B672CA">
        <w:t xml:space="preserve">, </w:t>
      </w:r>
      <w:r w:rsidRPr="00B672CA">
        <w:t>the Banking Environment Initiative (BEI)</w:t>
      </w:r>
      <w:r w:rsidR="00817998" w:rsidRPr="00B672CA">
        <w:t xml:space="preserve">, </w:t>
      </w:r>
      <w:r w:rsidR="00C455C8" w:rsidRPr="00B672CA">
        <w:t>and the</w:t>
      </w:r>
      <w:r w:rsidR="00817998" w:rsidRPr="00B672CA">
        <w:t xml:space="preserve"> National Capital Finance Alliance</w:t>
      </w:r>
      <w:r w:rsidR="000E196A" w:rsidRPr="00B672CA">
        <w:t xml:space="preserve"> (NCFA)</w:t>
      </w:r>
      <w:r w:rsidRPr="00B672CA">
        <w:t xml:space="preserve"> are examples of commitments from these actors toward addressing deforestation</w:t>
      </w:r>
      <w:r w:rsidR="000E196A" w:rsidRPr="00B672CA">
        <w:t xml:space="preserve"> and broader natural capital issues</w:t>
      </w:r>
      <w:r w:rsidRPr="00B672CA">
        <w:t>. International banks are paying more attention to environmental risks than they have in the past. They have formed sustainability teams that review these risks and then provide advice on lending practice within high-risk sectors, such as soy, palm oil, beef and forestry (</w:t>
      </w:r>
      <w:r w:rsidR="00817998" w:rsidRPr="00B672CA">
        <w:t xml:space="preserve">timber, </w:t>
      </w:r>
      <w:r w:rsidRPr="00B672CA">
        <w:t>pulp and paper</w:t>
      </w:r>
      <w:r w:rsidR="00817998" w:rsidRPr="00B672CA">
        <w:t xml:space="preserve"> and non-wood forest products</w:t>
      </w:r>
      <w:r w:rsidRPr="00B672CA">
        <w:t>). It is unclear, however, if these environmental risk management policies by banks and investors have had any impact on how they allocate capital to clients or investee companies and the indirect impact they are having.</w:t>
      </w:r>
    </w:p>
    <w:p w14:paraId="67524072" w14:textId="4CD48EA1" w:rsidR="00D25D40" w:rsidRPr="00280BF9" w:rsidRDefault="00D25D40" w:rsidP="00B37DAC">
      <w:pPr>
        <w:pStyle w:val="Para"/>
      </w:pPr>
      <w:r w:rsidRPr="00B672CA">
        <w:t xml:space="preserve">At the global scale, there are a few baseline initiatives that aim to influence commercial financing of soft commodity production so as to reduce the deforestation impact. The initiative that is the foundational component of the </w:t>
      </w:r>
      <w:r w:rsidRPr="00280BF9">
        <w:t xml:space="preserve">baseline scenario for the proposed project is a </w:t>
      </w:r>
      <w:r w:rsidRPr="00280BF9">
        <w:rPr>
          <w:b/>
        </w:rPr>
        <w:t>partnership program launched by the Sustainable Trade Initiative (IDH) together with Norway’s International Climate and Forest Initiative (NICFI)</w:t>
      </w:r>
      <w:r w:rsidRPr="00280BF9">
        <w:t xml:space="preserve">. </w:t>
      </w:r>
      <w:r w:rsidR="006243E5" w:rsidRPr="00280BF9">
        <w:t xml:space="preserve">Firstly, this partnership facilitates effective </w:t>
      </w:r>
      <w:r w:rsidRPr="00280BF9">
        <w:t>public-private coalitions</w:t>
      </w:r>
      <w:r w:rsidR="006243E5" w:rsidRPr="00280BF9">
        <w:t xml:space="preserve">. Secondly, the </w:t>
      </w:r>
      <w:r w:rsidR="00005AAD" w:rsidRPr="00280BF9">
        <w:t>&amp;Green Fund</w:t>
      </w:r>
      <w:r w:rsidR="006243E5" w:rsidRPr="00280BF9">
        <w:t xml:space="preserve">, being a spin-off </w:t>
      </w:r>
      <w:r w:rsidR="00471C25" w:rsidRPr="00280BF9">
        <w:t>of this partnership</w:t>
      </w:r>
      <w:r w:rsidR="006243E5" w:rsidRPr="00280BF9">
        <w:t xml:space="preserve">, provides concessional financial products to de-risk </w:t>
      </w:r>
      <w:r w:rsidRPr="00280BF9">
        <w:t>commercial finan</w:t>
      </w:r>
      <w:r w:rsidR="007C5A62" w:rsidRPr="00280BF9">
        <w:t xml:space="preserve">cing of deforestation-free land </w:t>
      </w:r>
      <w:r w:rsidRPr="00280BF9">
        <w:t>use</w:t>
      </w:r>
      <w:r w:rsidR="004E78EC" w:rsidRPr="00280BF9">
        <w:rPr>
          <w:rStyle w:val="FootnoteReference"/>
        </w:rPr>
        <w:footnoteReference w:id="25"/>
      </w:r>
      <w:r w:rsidRPr="00280BF9">
        <w:t xml:space="preserve">. </w:t>
      </w:r>
      <w:r w:rsidR="006243E5" w:rsidRPr="00280BF9">
        <w:t xml:space="preserve">This </w:t>
      </w:r>
      <w:r w:rsidRPr="00280BF9">
        <w:t xml:space="preserve">proposed project will be part of the </w:t>
      </w:r>
      <w:r w:rsidR="00005AAD" w:rsidRPr="00280BF9">
        <w:t>&amp;Green Fund</w:t>
      </w:r>
      <w:r w:rsidR="006243E5" w:rsidRPr="00280BF9">
        <w:t>, which addresses the second barrier outlined in Section A</w:t>
      </w:r>
      <w:r w:rsidR="007F5F4C" w:rsidRPr="00280BF9">
        <w:t>.</w:t>
      </w:r>
      <w:r w:rsidR="006243E5" w:rsidRPr="00280BF9">
        <w:t>1.1.</w:t>
      </w:r>
      <w:r w:rsidRPr="00280BF9">
        <w:t xml:space="preserve"> </w:t>
      </w:r>
      <w:r w:rsidR="006243E5" w:rsidRPr="00280BF9">
        <w:t xml:space="preserve">The </w:t>
      </w:r>
      <w:r w:rsidR="00B75CD4" w:rsidRPr="00280BF9">
        <w:t xml:space="preserve">convening mechanism for public private coalitions will benefit the </w:t>
      </w:r>
      <w:r w:rsidR="006243E5" w:rsidRPr="00280BF9">
        <w:t xml:space="preserve">proposed project </w:t>
      </w:r>
      <w:r w:rsidRPr="00280BF9">
        <w:t>insofar as it creates a favorable enabling environment for the de-risking activities of the</w:t>
      </w:r>
      <w:r w:rsidR="007F5F4C" w:rsidRPr="00280BF9">
        <w:t xml:space="preserve"> fund</w:t>
      </w:r>
      <w:r w:rsidR="006243E5" w:rsidRPr="00280BF9">
        <w:t xml:space="preserve"> thereby addressing the first barrier outlined in Section A</w:t>
      </w:r>
      <w:r w:rsidR="007F5F4C" w:rsidRPr="00280BF9">
        <w:t>.</w:t>
      </w:r>
      <w:r w:rsidR="006243E5" w:rsidRPr="00280BF9">
        <w:t>1.1.</w:t>
      </w:r>
      <w:r w:rsidRPr="00280BF9">
        <w:t xml:space="preserve"> The convening mechanism will bring together the relevant public and private decision-makers and will enable them to make policies, act on agreed outcomes, and monitor the impact. The transformative agenda for PPI land use requires multi-stakeholder buy-in to be effective, including producers, trade and industry, communities, local government and civil society. The NICFI-IDH Partnership Program will be a neutral, engaged, and professional convener of stakeholders to foster collaboration. In each of the target landscapes, the Program will forge a shared governance structure that includes producers, communities, trade and industry, civil society and government. The Program will support regular meetings to discuss achievements, progress, challenges, planning and alterations in the Green Growth strategy. The Program will help to create agreements at sub-landscape level between context relevant combinations of companies, government agencies and communities for the development of PPI agreements. Further, the Program will secure commitments of public sector authorities in the landscapes and turn these into action. It will also engage (inter)national trade and industry that have corporate commitments on </w:t>
      </w:r>
      <w:r w:rsidR="00817998" w:rsidRPr="00280BF9">
        <w:t>‘</w:t>
      </w:r>
      <w:r w:rsidRPr="00280BF9">
        <w:t>zero deforestation</w:t>
      </w:r>
      <w:r w:rsidR="00817998" w:rsidRPr="00280BF9">
        <w:t>’</w:t>
      </w:r>
      <w:r w:rsidRPr="00280BF9">
        <w:t xml:space="preserve"> or </w:t>
      </w:r>
      <w:r w:rsidR="00817998" w:rsidRPr="00280BF9">
        <w:t>‘</w:t>
      </w:r>
      <w:r w:rsidRPr="00280BF9">
        <w:t>zero net deforestation</w:t>
      </w:r>
      <w:r w:rsidR="00817998" w:rsidRPr="00280BF9">
        <w:t>’</w:t>
      </w:r>
      <w:r w:rsidR="00817998" w:rsidRPr="00280BF9">
        <w:rPr>
          <w:rStyle w:val="FootnoteReference"/>
        </w:rPr>
        <w:footnoteReference w:id="26"/>
      </w:r>
      <w:r w:rsidRPr="00280BF9">
        <w:t xml:space="preserve"> and that are relevant to the commodity sectors in the landscapes. The Program envisages facilitating the development of verified sourcing systems that recognize PPI performance at landscape level, thereby enabling recognition in the market place. The Program will develop the lessons and innovation that are essential to </w:t>
      </w:r>
      <w:r w:rsidR="008631F5" w:rsidRPr="00280BF9">
        <w:t>realizing PPI land use</w:t>
      </w:r>
      <w:r w:rsidRPr="00280BF9">
        <w:t xml:space="preserve">, </w:t>
      </w:r>
      <w:r w:rsidR="008631F5" w:rsidRPr="00280BF9">
        <w:t xml:space="preserve">while </w:t>
      </w:r>
      <w:r w:rsidRPr="00280BF9">
        <w:t>the project aims to transform agricultural investments at scale. The key learning outcome is to build proof-of-concept on scalable PPI business and finance markets. The second level of learning will take place in the structuring of the PPI deals. The investees, investors, other partners and IDH will engage in a learning process. To accelerate the learning and innovation, the project will work with partners to set up field projects to develop proof-of-concepts. The lessons from these field projects will be leveraged for the investment deals. The Program will help develop service delivery mechanisms that are critical to the uptake of the PPI agenda. New service delivery models are envisioned, plus training of existing service delivery agents. Through a focused learning agenda, the Program plans to develop a knowledge base on the provision of the right incentives for sustainable land use beyond the PPI investment and sharing it with the stakeholders at landscape, investor, and value-chain company levels. The Program’s convening mechanism has a budget of US$ 30 million that is to be funded by a grant from NICFI, and these resources are being considered cofinancing for the project.</w:t>
      </w:r>
    </w:p>
    <w:p w14:paraId="597F4282" w14:textId="63006F7B" w:rsidR="00D25D40" w:rsidRPr="00B672CA" w:rsidRDefault="00D25D40" w:rsidP="00B37DAC">
      <w:pPr>
        <w:pStyle w:val="Para"/>
      </w:pPr>
      <w:r w:rsidRPr="00280BF9">
        <w:t>The GEF funded ‘</w:t>
      </w:r>
      <w:r w:rsidRPr="00280BF9">
        <w:rPr>
          <w:b/>
          <w:bCs/>
        </w:rPr>
        <w:t>Commodities Integrated Approach</w:t>
      </w:r>
      <w:r w:rsidRPr="00280BF9">
        <w:rPr>
          <w:bCs/>
        </w:rPr>
        <w:t>’</w:t>
      </w:r>
      <w:r w:rsidRPr="00280BF9">
        <w:t xml:space="preserve"> (Commodities IAP) seeks to transform the sustainable production of key commodities from niche and specialized operations to the norm in each commodity sector. The</w:t>
      </w:r>
      <w:r w:rsidRPr="00B672CA">
        <w:t xml:space="preserve"> Program’s overall objective is to reduce the global impacts of agriculture commodities on GHG emissions and biodiversity by meeting the growing demand of palm oil, soy and beef through supply that does not lead to deforestation and deforestation-related GHG emissions. The ‘Theory of Change’ for the program builds on the premise that the increased adoption of agricultural commodity production practices that are less destructive of forests is contingent on several factors. Firstly, enabling conditions including policies and land use/ spatial plans must be in place to make the right lands available for production and to make high biodiversity value and high carbon stock forests less accessible. Secondly, producers need enhanced capacity to adopt good agricultural practices and improve yields. Thirdly, increased financial flows and economic incentives are necessary to support these good production practices in the right locations and less incentives must be provided in inappropriate locations. Fourthly, market awareness and demand for reduced-deforestation supply are critical to promote more sustainable production. If these factors are addressed, agricultural production can be increased and growth achieved with sharp reductions in deforestation compared to business-as-usual scenarios. The three pilot countries of the proposed project (Brazil, Indonesia and Liberia) are also part of the Commodities IAP, and there is a significant opportunity for synergy during implementation. The GEF funding for the Commodities IAP (US$ 40.3 million) is entirely grant-based, and does not make provision for de-risking or guarantees to incentivize the private sector. UN</w:t>
      </w:r>
      <w:r w:rsidR="00704566" w:rsidRPr="00B672CA">
        <w:t xml:space="preserve"> Environment</w:t>
      </w:r>
      <w:r w:rsidRPr="00B672CA">
        <w:t xml:space="preserve">, through </w:t>
      </w:r>
      <w:r w:rsidR="00FF7C92" w:rsidRPr="00B672CA">
        <w:t>its Finance Initiative</w:t>
      </w:r>
      <w:r w:rsidRPr="00B672CA">
        <w:t>, will co-execute the ‘Enabling Transactions’ child project together with IFC. UN</w:t>
      </w:r>
      <w:r w:rsidR="00704566" w:rsidRPr="00B672CA">
        <w:t xml:space="preserve"> Environment </w:t>
      </w:r>
      <w:r w:rsidRPr="00B672CA">
        <w:t>will lead on (i) ‘support to financial markets &amp; institutions’ to increase funds (loans and investments) subjected to enhanced deforestation risk policies, and (ii) ‘support to public sector’ to increase public incentives and public and private financing for reduced deforestation practices. The ‘Enabling Transactions’ child project will develop business cases that highlight benefits of adopting zero deforestation supply chain approaches in financial decision making and build capacity of financial institutions to consider deforestation and forest degradation risks in agricultural investments. The proposed project will use non-grant instruments to provide additional cases and best practices on innovative engagement of the private sector and public sector through innovative finance models that deliver protection and production benefits.</w:t>
      </w:r>
    </w:p>
    <w:p w14:paraId="0227610D" w14:textId="08DABD09" w:rsidR="00D25D40" w:rsidRPr="00B672CA" w:rsidRDefault="00D25D40" w:rsidP="00B37DAC">
      <w:pPr>
        <w:pStyle w:val="Para"/>
      </w:pPr>
      <w:r w:rsidRPr="00B672CA">
        <w:t xml:space="preserve">The </w:t>
      </w:r>
      <w:r w:rsidRPr="00B672CA">
        <w:rPr>
          <w:b/>
        </w:rPr>
        <w:t>UN-REDD Programme</w:t>
      </w:r>
      <w:r w:rsidRPr="00B672CA">
        <w:t xml:space="preserve"> has been operating in more than 60 partner countries over the past 5 years, including in</w:t>
      </w:r>
      <w:r w:rsidRPr="00B672CA">
        <w:rPr>
          <w:b/>
        </w:rPr>
        <w:t xml:space="preserve"> </w:t>
      </w:r>
      <w:r w:rsidRPr="00B672CA">
        <w:t xml:space="preserve">Liberia and Indonesia. As the UN-REDD Programme moves to a new results-framework </w:t>
      </w:r>
      <w:r w:rsidR="00704566" w:rsidRPr="00B672CA">
        <w:t>for 2017-2020</w:t>
      </w:r>
      <w:r w:rsidRPr="00B672CA">
        <w:t xml:space="preserve">, there will be more intensive </w:t>
      </w:r>
      <w:r w:rsidR="00FB2B2A" w:rsidRPr="00B672CA">
        <w:t xml:space="preserve">technical assistance </w:t>
      </w:r>
      <w:r w:rsidRPr="00B672CA">
        <w:t xml:space="preserve">programmes in a number of countries – including Liberia and Indonesia – to support these governments in achieving emission reductions/ removals through a variety of policies and measures. It is important to ensure that the </w:t>
      </w:r>
      <w:r w:rsidR="00005AAD" w:rsidRPr="00B672CA">
        <w:t>&amp;Green Fund</w:t>
      </w:r>
      <w:r w:rsidRPr="00B672CA">
        <w:t xml:space="preserve"> is aligned with the UN-REDD Programme, and where possible they mutually strengthen each other in order to deliver success</w:t>
      </w:r>
      <w:r w:rsidR="00704566" w:rsidRPr="00B672CA">
        <w:t xml:space="preserve">. For example, the UN-REDD Programme has built significant knowledge and understanding </w:t>
      </w:r>
      <w:r w:rsidR="00E1043A" w:rsidRPr="00B672CA">
        <w:t xml:space="preserve">of </w:t>
      </w:r>
      <w:r w:rsidR="00704566" w:rsidRPr="00B672CA">
        <w:t xml:space="preserve">how to support countries to put REDD+ National Strategies/Action Plans in place that outline how the country will reduce/remove emissions. The </w:t>
      </w:r>
      <w:r w:rsidR="00005AAD" w:rsidRPr="00B672CA">
        <w:t>&amp;Green Fund</w:t>
      </w:r>
      <w:r w:rsidR="00704566" w:rsidRPr="00B672CA">
        <w:t xml:space="preserve"> requires </w:t>
      </w:r>
      <w:r w:rsidR="00E1043A" w:rsidRPr="00B672CA">
        <w:t xml:space="preserve">that, for investments to be undertaken, </w:t>
      </w:r>
      <w:r w:rsidR="00704566" w:rsidRPr="00B672CA">
        <w:t xml:space="preserve">Jurisdictional </w:t>
      </w:r>
      <w:r w:rsidR="00E1043A" w:rsidRPr="00B672CA">
        <w:t>E</w:t>
      </w:r>
      <w:r w:rsidR="00704566" w:rsidRPr="00B672CA">
        <w:t xml:space="preserve">ligibility </w:t>
      </w:r>
      <w:r w:rsidR="00E1043A" w:rsidRPr="00B672CA">
        <w:t>C</w:t>
      </w:r>
      <w:r w:rsidR="00704566" w:rsidRPr="00B672CA">
        <w:t>riteria</w:t>
      </w:r>
      <w:r w:rsidR="00E1043A" w:rsidRPr="00B672CA">
        <w:t xml:space="preserve"> (JEC) must first be met and these are </w:t>
      </w:r>
      <w:r w:rsidR="00662C65" w:rsidRPr="00B672CA">
        <w:t xml:space="preserve">basically the same but instead of national level, </w:t>
      </w:r>
      <w:r w:rsidR="00E1043A" w:rsidRPr="00B672CA">
        <w:t xml:space="preserve">they are </w:t>
      </w:r>
      <w:r w:rsidR="00662C65" w:rsidRPr="00B672CA">
        <w:t>to be applied at jurisdictional le</w:t>
      </w:r>
      <w:r w:rsidR="00E1043A" w:rsidRPr="00B672CA">
        <w:t>vel (e.g. provincial, district). The</w:t>
      </w:r>
      <w:r w:rsidR="00662C65" w:rsidRPr="00B672CA">
        <w:t xml:space="preserve"> plan to reduce/</w:t>
      </w:r>
      <w:r w:rsidR="00E1043A" w:rsidRPr="00B672CA">
        <w:t xml:space="preserve"> </w:t>
      </w:r>
      <w:r w:rsidR="00662C65" w:rsidRPr="00B672CA">
        <w:t xml:space="preserve">remove emissions </w:t>
      </w:r>
      <w:r w:rsidR="00E1043A" w:rsidRPr="00B672CA">
        <w:t xml:space="preserve">must be </w:t>
      </w:r>
      <w:r w:rsidR="00662C65" w:rsidRPr="00B672CA">
        <w:t>verified by 3</w:t>
      </w:r>
      <w:r w:rsidR="00662C65" w:rsidRPr="00B672CA">
        <w:rPr>
          <w:vertAlign w:val="superscript"/>
        </w:rPr>
        <w:t>rd</w:t>
      </w:r>
      <w:r w:rsidR="00662C65" w:rsidRPr="00B672CA">
        <w:t xml:space="preserve"> parties. The knowledge and lessons learned through the UN-REDD Programme can be used to work with the </w:t>
      </w:r>
      <w:r w:rsidR="00005AAD" w:rsidRPr="00B672CA">
        <w:t>&amp;Green Fund</w:t>
      </w:r>
      <w:r w:rsidR="00662C65" w:rsidRPr="00B672CA">
        <w:t xml:space="preserve"> on assessing jurisdictional eligibility criteria</w:t>
      </w:r>
      <w:r w:rsidR="00CC71D0" w:rsidRPr="00B672CA">
        <w:t>.</w:t>
      </w:r>
    </w:p>
    <w:p w14:paraId="3BC2F1CF" w14:textId="77777777" w:rsidR="00D25D40" w:rsidRPr="00B672CA" w:rsidRDefault="00D25D40" w:rsidP="00B37DAC">
      <w:pPr>
        <w:pStyle w:val="Para"/>
      </w:pPr>
      <w:r w:rsidRPr="00B672CA">
        <w:rPr>
          <w:b/>
          <w:bCs/>
        </w:rPr>
        <w:t>Global Forest Watch (GFW) Commodities,</w:t>
      </w:r>
      <w:r w:rsidRPr="00B672CA">
        <w:t xml:space="preserve"> an online platform, empowers companies to analyze the impact of key commodities on forests, using the latest and most powerful data available. GFW Commodities builds on the Global Forest Watch platform with a specific focus on companies who buy and sell major commodities that impact forests, such as palm oil, beef, soy, wood pulp. GFW Commodities is free to use and follows an open data approach in putting out decision-relevant information.</w:t>
      </w:r>
    </w:p>
    <w:p w14:paraId="40C373FC" w14:textId="77777777" w:rsidR="00D25D40" w:rsidRPr="00B672CA" w:rsidRDefault="00D25D40" w:rsidP="00B37DAC">
      <w:pPr>
        <w:pStyle w:val="Para"/>
      </w:pPr>
      <w:r w:rsidRPr="00B672CA">
        <w:t>The</w:t>
      </w:r>
      <w:r w:rsidRPr="00B672CA">
        <w:rPr>
          <w:b/>
        </w:rPr>
        <w:t xml:space="preserve"> Conservation Agreements Private Partnership Platform</w:t>
      </w:r>
      <w:r w:rsidRPr="00B672CA">
        <w:t xml:space="preserve"> (CAPPP) led by Conservation International seeks to forge mutually beneficial links between the private sector and local communities or landowners who commit to achieve biodiversity conservation, reduce land degradation, support climate regulation efforts, and promote sustainable natural resource management. Under a conservation agreement, local resource users agree to protect priority habitats in exchange for a steady stream of structured compensation from conservationists or other investors. </w:t>
      </w:r>
    </w:p>
    <w:p w14:paraId="7018136E" w14:textId="77777777" w:rsidR="00D25D40" w:rsidRPr="00B672CA" w:rsidRDefault="00D25D40" w:rsidP="00B37DAC">
      <w:pPr>
        <w:pStyle w:val="Para"/>
      </w:pPr>
      <w:r w:rsidRPr="00B672CA">
        <w:t>In addition to the above global projects, there are a number of projects and initiatives that have been and continue to be implemented in the target countries and are of relevance to the proposed GEF project:</w:t>
      </w:r>
    </w:p>
    <w:p w14:paraId="1762EBC4" w14:textId="77777777" w:rsidR="00D25D40" w:rsidRPr="00B672CA" w:rsidRDefault="00D25D40" w:rsidP="00F533BE">
      <w:pPr>
        <w:pStyle w:val="Bullets1"/>
      </w:pPr>
      <w:r w:rsidRPr="00B672CA">
        <w:t>Brazil</w:t>
      </w:r>
    </w:p>
    <w:p w14:paraId="48FB79B2" w14:textId="77777777" w:rsidR="00D25D40" w:rsidRPr="00B672CA" w:rsidRDefault="00D25D40" w:rsidP="00F533BE">
      <w:pPr>
        <w:pStyle w:val="Bullets2"/>
      </w:pPr>
      <w:r w:rsidRPr="00B672CA">
        <w:t>In 2015-16, Brazil was the largest exporter of soybeans globally (approximately 54 million tons) with the majority being exported to China. The main voluntary agreement minimizing forest conversion is the Soy Moratorium that was signed in July 2006 by industry members of ABIOVE (Brazilian Vegetable Oil Industry Association) and ANEC (Brazilian Grain Exporters Association). The moratorium pledges that members will not buy soy produced in the Amazon biome after July 2006. The Soy Moratorium has been viewed as a success for the Amazon biome, although it did push development into the Cerrado biome. The government’s actions on its commitments to reduce deforestation include enforcing the new Forest Code of 2012, which establishes reserves and permanent protection areas, and requires a minimum level of forest cover on private land, and signing an MOU with Norway for up to US$ 1 billion in payment for performance in reducing deforestation in the Amazon. The final installment of this has recently been transferred to Brazil’s Amazon Fund.</w:t>
      </w:r>
    </w:p>
    <w:p w14:paraId="7278840B" w14:textId="71DEA816" w:rsidR="00D25D40" w:rsidRPr="00B672CA" w:rsidRDefault="00D25D40" w:rsidP="00F533BE">
      <w:pPr>
        <w:pStyle w:val="Bullets2"/>
      </w:pPr>
      <w:r w:rsidRPr="00B672CA">
        <w:t>The B</w:t>
      </w:r>
      <w:r w:rsidR="00CC0A66" w:rsidRPr="00B672CA">
        <w:t>razilian Central Bank issued a R</w:t>
      </w:r>
      <w:r w:rsidRPr="00B672CA">
        <w:t xml:space="preserve">esolution on Environmental and Social Policy (SELP), which passed in 2014, requiring all 2,000 Brazilian financial institutions to assess ESG (Environmental and Social Governance) risks and report on them publicly. Brazilian banks in general have developed cross-cutting and comprehensive policies for considering socio-environmental aspects in processes for accepting new clients, credit limit evaluations, and granting and monitoring of these loans. </w:t>
      </w:r>
      <w:r w:rsidR="00CA2B94" w:rsidRPr="00B672CA">
        <w:t xml:space="preserve">To access credit borrowers had to present proof of compliance with environmental regulation. </w:t>
      </w:r>
      <w:r w:rsidR="00B2363E" w:rsidRPr="00B672CA">
        <w:t>Climate Policy Initiatives</w:t>
      </w:r>
      <w:r w:rsidR="00CA2B94" w:rsidRPr="00B672CA">
        <w:t xml:space="preserve"> estimates that approximately US$ 1.4 billion in rural credit was not contracted in the 2008 through 2011 period due to restrictions imposed by Resolution 3,545. This reduction in credit prevented over 2,700 km</w:t>
      </w:r>
      <w:r w:rsidR="00CA2B94" w:rsidRPr="00B672CA">
        <w:rPr>
          <w:vertAlign w:val="superscript"/>
        </w:rPr>
        <w:t>2</w:t>
      </w:r>
      <w:r w:rsidR="00CA2B94" w:rsidRPr="00B672CA">
        <w:t xml:space="preserve"> of forest area from being cleared, which represents a 15% decrease in deforestation during that period (Assunção et al., 2013)</w:t>
      </w:r>
      <w:r w:rsidR="00CA2B94" w:rsidRPr="00B672CA">
        <w:rPr>
          <w:rStyle w:val="FootnoteReference"/>
        </w:rPr>
        <w:footnoteReference w:id="27"/>
      </w:r>
      <w:r w:rsidR="00CA2B94" w:rsidRPr="00B672CA">
        <w:t>.However, the priority among investors is corporate governance rather than social and environmental themes</w:t>
      </w:r>
      <w:r w:rsidR="00BD31EA" w:rsidRPr="00B672CA">
        <w:t>.</w:t>
      </w:r>
    </w:p>
    <w:p w14:paraId="146E86CC" w14:textId="77777777" w:rsidR="00D25D40" w:rsidRPr="00B672CA" w:rsidRDefault="00D25D40" w:rsidP="00F533BE">
      <w:pPr>
        <w:pStyle w:val="Bullets1"/>
      </w:pPr>
      <w:r w:rsidRPr="00B672CA">
        <w:t>Indonesia</w:t>
      </w:r>
    </w:p>
    <w:p w14:paraId="6F35E9B1" w14:textId="36B291FA" w:rsidR="00D25D40" w:rsidRPr="00B672CA" w:rsidRDefault="00D25D40" w:rsidP="00F533BE">
      <w:pPr>
        <w:pStyle w:val="Bullets2"/>
      </w:pPr>
      <w:r w:rsidRPr="00B672CA">
        <w:t>Indonesia is one of the two biggest palm oil producers in the world (together with Malaysia). These two countries account for 80 percent of global production. Indonesia has set a target to increase the volume of oil palm production by 60 percent from 2012-2020. Of the 11 million hectares of planted palm oil in Indonesia, smallholders represent 42 percent of Indonesia’s palm oil base of which 40 percent comes from independent smallholders (ISH) and 60 percent from plasma scheme smallholders (PSH). Access to finance was often cited as a major constraint for smallholders, as they often did not have the necessary collateral (such as land titles) to borrow from commercial banks, and had to rely on plantation companies to serve as guarantors for obtaining financing for operations and replanting.</w:t>
      </w:r>
    </w:p>
    <w:p w14:paraId="0253243D" w14:textId="3CCB38B0" w:rsidR="00D25D40" w:rsidRPr="00B672CA" w:rsidRDefault="00D25D40" w:rsidP="00F533BE">
      <w:pPr>
        <w:pStyle w:val="Bullets2"/>
      </w:pPr>
      <w:r w:rsidRPr="00B672CA">
        <w:t>In 2011, WWF joined with Rabobank and Caisse des Dépôts to undertake the first business case analysis for the adoption of sustainability standards</w:t>
      </w:r>
      <w:r w:rsidRPr="00B672CA">
        <w:rPr>
          <w:rStyle w:val="FootnoteReference"/>
        </w:rPr>
        <w:footnoteReference w:id="28"/>
      </w:r>
      <w:r w:rsidRPr="00B672CA">
        <w:t xml:space="preserve"> in the oil palm sector. The study was built on some of the early certified estates and did not focus as much attention on tied smallholders or independent smallholders, as little or no certification of these groups had been done at that time. RSPO certification has more than doubled since 2011 and represents 21 percent of global supply but there are still many smaller local palm oil plantations and most independent producers (including smallholders) </w:t>
      </w:r>
      <w:r w:rsidR="002A70DF" w:rsidRPr="00B672CA">
        <w:t xml:space="preserve">who are </w:t>
      </w:r>
      <w:r w:rsidRPr="00B672CA">
        <w:t>not included.</w:t>
      </w:r>
    </w:p>
    <w:p w14:paraId="38C7083C" w14:textId="6D4BEC42" w:rsidR="00FB2B2A" w:rsidRPr="00B672CA" w:rsidRDefault="00FB2B2A" w:rsidP="00F533BE">
      <w:pPr>
        <w:pStyle w:val="Bullets2"/>
      </w:pPr>
      <w:r w:rsidRPr="00B672CA">
        <w:t xml:space="preserve">In October 2016, the </w:t>
      </w:r>
      <w:r w:rsidRPr="00B672CA">
        <w:rPr>
          <w:b/>
        </w:rPr>
        <w:t>Tropical Landscapes Finance Facility</w:t>
      </w:r>
      <w:r w:rsidRPr="00B672CA">
        <w:t xml:space="preserve"> was launched in Jakarta (Indonesia), which aims to bring long-term finance to projects and companies that stimulate green growth and improve rural livelihoods in Indonesia. The initiative is supported by the Government of Indonesia and has UN Environment, World Agroforestry Centre, BNP Paribas and ADM Capital as key partners. The core objectives are (i) to scale up investment in renewable energy production, which means that more rural/ marginalized communities have access to electricity, and (ii) to reduce deforestation and forest degradation by channeling finance to the sustainable production of agricultural commodities that combine enhanced value added of the agricultural sector with improved rural livelihoods and reduced pressure for forest conversion. The facility will consist of two parts: a Tropical Landscapes Loan Fund (TLLF) and a Tropical Landscapes Grant Fund (TLGF). Long-term loans issued by the TL</w:t>
      </w:r>
      <w:r w:rsidR="00CA2B94" w:rsidRPr="00B672CA">
        <w:t>L</w:t>
      </w:r>
      <w:r w:rsidRPr="00B672CA">
        <w:t>F will be bought and securitized through a Medium Term Note (MTN) program (Tropical Landscapes Bonds or TLB) by BNP Paribas, issued in individual tranches of $100-$200 million up to an initial amount of US$ 1 billion</w:t>
      </w:r>
      <w:r w:rsidR="00CA2B94" w:rsidRPr="00B672CA">
        <w:t>.</w:t>
      </w:r>
      <w:r w:rsidR="00BD31EA" w:rsidRPr="00B672CA">
        <w:t xml:space="preserve"> </w:t>
      </w:r>
      <w:r w:rsidR="00CA2B94" w:rsidRPr="00B672CA">
        <w:t xml:space="preserve">There is the potential for complementarity between the TLFF and the </w:t>
      </w:r>
      <w:r w:rsidR="00005AAD" w:rsidRPr="00B672CA">
        <w:t>&amp;Green Fund</w:t>
      </w:r>
      <w:r w:rsidR="00CA2B94" w:rsidRPr="00B672CA">
        <w:t xml:space="preserve">. The TLFF aims to provide long-term loans to improve rural livelihoods and reduce deforestation. However, it requires credit guarantees to close deals. Such </w:t>
      </w:r>
      <w:r w:rsidR="00B40B90" w:rsidRPr="00B672CA">
        <w:t xml:space="preserve">credit guarantees or junior/first loss loans </w:t>
      </w:r>
      <w:r w:rsidR="00CA2B94" w:rsidRPr="00B672CA">
        <w:t xml:space="preserve">can come from governments, development banks, but potentially also through the </w:t>
      </w:r>
      <w:r w:rsidR="00005AAD" w:rsidRPr="00B672CA">
        <w:t>&amp;Green Fund</w:t>
      </w:r>
      <w:r w:rsidR="00E1043A" w:rsidRPr="00B672CA">
        <w:t>.</w:t>
      </w:r>
    </w:p>
    <w:p w14:paraId="51E2E5D4" w14:textId="77777777" w:rsidR="00E1043A" w:rsidRPr="00B672CA" w:rsidRDefault="00E1043A" w:rsidP="00E1043A">
      <w:pPr>
        <w:pStyle w:val="Bullets1"/>
      </w:pPr>
      <w:r w:rsidRPr="00B672CA">
        <w:t>Liberia</w:t>
      </w:r>
    </w:p>
    <w:p w14:paraId="0897D088" w14:textId="1CC26750" w:rsidR="00E1043A" w:rsidRPr="00B672CA" w:rsidRDefault="00E1043A" w:rsidP="00E1043A">
      <w:pPr>
        <w:pStyle w:val="Bullets2"/>
      </w:pPr>
      <w:r w:rsidRPr="00B672CA">
        <w:t>Agriculture supports approximately 70 percent of the population, the majority being subsistence farmers. There are also an estimated 900,000 small-holders, cultivating on average just 1.5 hectare plots of various cash-crops including palm oil. A large new SIDA programme has recently been launched to be implemented by international NGO GROW</w:t>
      </w:r>
      <w:r w:rsidR="008E2CB3" w:rsidRPr="00B672CA">
        <w:rPr>
          <w:rStyle w:val="FootnoteReference"/>
        </w:rPr>
        <w:footnoteReference w:id="29"/>
      </w:r>
      <w:r w:rsidRPr="00B672CA">
        <w:t>. With US$ 22 million of funding the program supports market and supply chain development in the small-holder sector, including rubber, coffee, cocoa, and palm oil. IDH partners with GROW and together they have developed the community palm oil outgrower model now adopted by the Liberian government.</w:t>
      </w:r>
    </w:p>
    <w:p w14:paraId="4327B511" w14:textId="77777777" w:rsidR="00E1043A" w:rsidRPr="00B672CA" w:rsidRDefault="00E1043A" w:rsidP="00E1043A">
      <w:pPr>
        <w:pStyle w:val="Bullets2"/>
      </w:pPr>
      <w:r w:rsidRPr="00B672CA">
        <w:t>The complementary Norway and World Bank funded Liberia Forest Sector Project (LFSP), totaling US$ 150 million, works on bolstering Liberia’s protected areas and proposed protected areas to ensure their effective management and conservation. IDH works together with the World Bank and Liberian Forestry Development Authority (FDA) to align the programs such that the IDH focus is on production and protection in key expansion areas, whereas the LFSP supports forest protection at the landscape level.</w:t>
      </w:r>
    </w:p>
    <w:p w14:paraId="31579B13" w14:textId="77777777" w:rsidR="00E1043A" w:rsidRPr="00B672CA" w:rsidRDefault="00E1043A" w:rsidP="00E1043A">
      <w:pPr>
        <w:pStyle w:val="Bullets2"/>
        <w:numPr>
          <w:ilvl w:val="0"/>
          <w:numId w:val="0"/>
        </w:numPr>
      </w:pPr>
    </w:p>
    <w:p w14:paraId="4AA1F23B" w14:textId="77777777" w:rsidR="00D25D40" w:rsidRPr="00B672CA" w:rsidRDefault="00D25D40" w:rsidP="00D25D40">
      <w:pPr>
        <w:pStyle w:val="Heading2"/>
      </w:pPr>
      <w:r w:rsidRPr="00B672CA">
        <w:t>A.1.3 The proposed alternative scenario, with a brief description of expected outcomes and components of the project</w:t>
      </w:r>
    </w:p>
    <w:p w14:paraId="41D69282" w14:textId="46BF1CF1" w:rsidR="00D25D40" w:rsidRPr="00B672CA" w:rsidRDefault="00D25D40" w:rsidP="00B37DAC">
      <w:pPr>
        <w:pStyle w:val="Para"/>
      </w:pPr>
      <w:r w:rsidRPr="00B672CA">
        <w:t xml:space="preserve">The proposed project will be targeting seven landscapes in Brazil, Indonesia and Liberia. </w:t>
      </w:r>
      <w:r w:rsidR="00E1043A" w:rsidRPr="00B672CA">
        <w:t>The selection of landscapes is predicated on satisfactory compliance with jurisdictional eligibility criteria (JEC)</w:t>
      </w:r>
      <w:r w:rsidR="0037373F" w:rsidRPr="00B672CA">
        <w:rPr>
          <w:rStyle w:val="FootnoteReference"/>
        </w:rPr>
        <w:footnoteReference w:id="30"/>
      </w:r>
      <w:r w:rsidR="00E1043A" w:rsidRPr="00B672CA">
        <w:t xml:space="preserve">. </w:t>
      </w:r>
      <w:r w:rsidRPr="00B672CA">
        <w:t xml:space="preserve">These </w:t>
      </w:r>
      <w:r w:rsidR="00E1043A" w:rsidRPr="00B672CA">
        <w:t>target landscapes are</w:t>
      </w:r>
      <w:r w:rsidRPr="00B672CA">
        <w:t xml:space="preserve">: Brazil: (i) the State of Mato Grosso; Indonesia: (ii) South Sumatra and Jambi, (iii) West Kalimantan, and (iv) Aceh; Liberia: (v) the South East Landscape, (vi) the Western Landscape, and (vii) the Nimba Landscape. Actual investments will take place into specific projects within those landscapes. More detailed information on the target landscapes is in Annex </w:t>
      </w:r>
      <w:r w:rsidR="00101D6E" w:rsidRPr="00B672CA">
        <w:t>E</w:t>
      </w:r>
      <w:r w:rsidRPr="00B672CA">
        <w:t>.</w:t>
      </w:r>
      <w:r w:rsidR="0037373F" w:rsidRPr="00B672CA">
        <w:t xml:space="preserve"> The GEF contribution through the </w:t>
      </w:r>
      <w:r w:rsidR="00005AAD" w:rsidRPr="00B672CA">
        <w:t>&amp;Green Fund</w:t>
      </w:r>
      <w:r w:rsidR="0037373F" w:rsidRPr="00B672CA">
        <w:t xml:space="preserve"> is to be invested in these landscapes. However, it is possible some investments may be undertaken in other countries where the JEC are met</w:t>
      </w:r>
      <w:r w:rsidR="0037373F" w:rsidRPr="00B672CA">
        <w:rPr>
          <w:rStyle w:val="FootnoteReference"/>
        </w:rPr>
        <w:footnoteReference w:id="31"/>
      </w:r>
      <w:r w:rsidR="0037373F" w:rsidRPr="00B672CA">
        <w:t xml:space="preserve">. </w:t>
      </w:r>
    </w:p>
    <w:p w14:paraId="5FBF643C" w14:textId="5BC675D0" w:rsidR="00D25D40" w:rsidRPr="00B672CA" w:rsidRDefault="008F5206" w:rsidP="00B37DAC">
      <w:pPr>
        <w:pStyle w:val="Para"/>
      </w:pPr>
      <w:r w:rsidRPr="00280BF9">
        <w:t xml:space="preserve">The GEF non-grant </w:t>
      </w:r>
      <w:r w:rsidR="00BD31EA" w:rsidRPr="00280BF9">
        <w:t xml:space="preserve">instrument </w:t>
      </w:r>
      <w:r w:rsidR="00AF3030" w:rsidRPr="00280BF9">
        <w:t xml:space="preserve">of USD </w:t>
      </w:r>
      <w:r w:rsidR="00092246" w:rsidRPr="00280BF9">
        <w:t xml:space="preserve">1.925 million of </w:t>
      </w:r>
      <w:r w:rsidR="00AF3030" w:rsidRPr="00280BF9">
        <w:t xml:space="preserve">2 million </w:t>
      </w:r>
      <w:r w:rsidR="00092246" w:rsidRPr="00280BF9">
        <w:t>(75,000 will be reserved for project evaluations</w:t>
      </w:r>
      <w:r w:rsidR="0068372B" w:rsidRPr="00280BF9">
        <w:t xml:space="preserve">) </w:t>
      </w:r>
      <w:r w:rsidRPr="00280BF9">
        <w:t xml:space="preserve">will be added to other committed capital in the </w:t>
      </w:r>
      <w:r w:rsidR="00005AAD" w:rsidRPr="00280BF9">
        <w:t>&amp;Green Fund</w:t>
      </w:r>
      <w:r w:rsidR="00AF3030" w:rsidRPr="00280BF9">
        <w:t xml:space="preserve"> </w:t>
      </w:r>
      <w:r w:rsidRPr="00280BF9">
        <w:t xml:space="preserve">from </w:t>
      </w:r>
      <w:r w:rsidR="00FC1102" w:rsidRPr="00280BF9">
        <w:t>NICFI</w:t>
      </w:r>
      <w:r w:rsidRPr="00280BF9">
        <w:t xml:space="preserve"> and other public and private</w:t>
      </w:r>
      <w:r w:rsidRPr="00B672CA">
        <w:t xml:space="preserve"> sources. </w:t>
      </w:r>
      <w:r w:rsidR="009B1A54" w:rsidRPr="00B672CA">
        <w:t xml:space="preserve">GEF’s exposure will be </w:t>
      </w:r>
      <w:r w:rsidR="009B1A54" w:rsidRPr="00B672CA">
        <w:rPr>
          <w:i/>
        </w:rPr>
        <w:t>pari passu</w:t>
      </w:r>
      <w:r w:rsidR="009B1A54" w:rsidRPr="00B672CA">
        <w:t xml:space="preserve"> in terms of risk to other bilateral </w:t>
      </w:r>
      <w:r w:rsidR="00FC1102" w:rsidRPr="00B672CA">
        <w:t>and multilateral donors in the f</w:t>
      </w:r>
      <w:r w:rsidR="009B1A54" w:rsidRPr="00B672CA">
        <w:t xml:space="preserve">und, </w:t>
      </w:r>
      <w:r w:rsidR="00FC1102" w:rsidRPr="00B672CA">
        <w:t xml:space="preserve">for example </w:t>
      </w:r>
      <w:r w:rsidR="009B1A54" w:rsidRPr="00B672CA">
        <w:t xml:space="preserve">the Norwegian International Climate and Finance Initiative, </w:t>
      </w:r>
      <w:r w:rsidR="00FC1102" w:rsidRPr="00B672CA">
        <w:t>but</w:t>
      </w:r>
      <w:r w:rsidR="009B1A54" w:rsidRPr="00B672CA">
        <w:t xml:space="preserve"> </w:t>
      </w:r>
      <w:r w:rsidR="00FC1102" w:rsidRPr="00B672CA">
        <w:t xml:space="preserve">it will be </w:t>
      </w:r>
      <w:r w:rsidR="009B1A54" w:rsidRPr="00B672CA">
        <w:t xml:space="preserve">subordinate to private sector investors (e.g. Unilever). </w:t>
      </w:r>
      <w:r w:rsidRPr="00B672CA">
        <w:t xml:space="preserve">The underlying idea </w:t>
      </w:r>
      <w:r w:rsidR="00B40B90" w:rsidRPr="00B672CA">
        <w:t xml:space="preserve">behind the </w:t>
      </w:r>
      <w:r w:rsidR="00005AAD" w:rsidRPr="00B672CA">
        <w:t>&amp;Green Fund</w:t>
      </w:r>
      <w:r w:rsidR="00B40B90" w:rsidRPr="00B672CA">
        <w:t xml:space="preserve"> is to compensate mainstream financial institutions for some of the additional perceived risk of financing sustainable production and the improvement of smallholder yields, thereby increase capital flows to responsible producers, reducing deforestation, and pilot testing new financial structures and credit facilities that demonstrate the bankability of the smallholder sector and are both replicable and scalable.</w:t>
      </w:r>
      <w:r w:rsidRPr="00B672CA">
        <w:t xml:space="preserve"> </w:t>
      </w:r>
      <w:r w:rsidR="00BA46AF" w:rsidRPr="00B672CA">
        <w:t>F</w:t>
      </w:r>
      <w:r w:rsidRPr="00B672CA">
        <w:t xml:space="preserve">or the </w:t>
      </w:r>
      <w:r w:rsidR="00005AAD" w:rsidRPr="00B672CA">
        <w:t>&amp;Green Fund</w:t>
      </w:r>
      <w:r w:rsidRPr="00B672CA">
        <w:t xml:space="preserve"> to actually finance deals, IDH and NICFI are </w:t>
      </w:r>
      <w:r w:rsidR="00D25D40" w:rsidRPr="00B672CA">
        <w:t>developing a pipeline of investable projects in the 7 selected landscapes in Brazil, Indonesia and Liberia</w:t>
      </w:r>
      <w:r w:rsidRPr="00B672CA">
        <w:t xml:space="preserve">, which can accordingly be financed through the </w:t>
      </w:r>
      <w:r w:rsidR="00005AAD" w:rsidRPr="00B672CA">
        <w:t>&amp;Green Fund</w:t>
      </w:r>
      <w:r w:rsidR="00397AF1" w:rsidRPr="00B672CA">
        <w:t xml:space="preserve"> </w:t>
      </w:r>
      <w:r w:rsidRPr="00B672CA">
        <w:t>in combination with private capital</w:t>
      </w:r>
      <w:r w:rsidR="00D25D40" w:rsidRPr="00B672CA">
        <w:t>.</w:t>
      </w:r>
      <w:r w:rsidR="00AF3030" w:rsidRPr="00B672CA">
        <w:t xml:space="preserve"> It is expected that t</w:t>
      </w:r>
      <w:r w:rsidR="00D25D40" w:rsidRPr="00B672CA">
        <w:t xml:space="preserve">hese private investments will </w:t>
      </w:r>
      <w:r w:rsidR="00AF3030" w:rsidRPr="00B672CA">
        <w:t xml:space="preserve">bring </w:t>
      </w:r>
      <w:r w:rsidR="00BF30E2" w:rsidRPr="00B672CA">
        <w:t>1</w:t>
      </w:r>
      <w:r w:rsidR="00AF3030" w:rsidRPr="00B672CA">
        <w:t>8</w:t>
      </w:r>
      <w:r w:rsidR="00BF30E2" w:rsidRPr="00B672CA">
        <w:t>6</w:t>
      </w:r>
      <w:r w:rsidR="00AF3030" w:rsidRPr="00B672CA">
        <w:t>,000 ha under sustainable agriculture, maintain forest cover at 25</w:t>
      </w:r>
      <w:r w:rsidR="00BF30E2" w:rsidRPr="00B672CA">
        <w:t>8</w:t>
      </w:r>
      <w:r w:rsidR="00AF3030" w:rsidRPr="00B672CA">
        <w:t>,000 ha, avoid deforestation on 180,000 ha,</w:t>
      </w:r>
      <w:r w:rsidR="00D25D40" w:rsidRPr="00B672CA">
        <w:t xml:space="preserve"> as well as </w:t>
      </w:r>
      <w:r w:rsidR="00AF3030" w:rsidRPr="00B672CA">
        <w:t xml:space="preserve">improve </w:t>
      </w:r>
      <w:r w:rsidR="00D25D40" w:rsidRPr="00B672CA">
        <w:t xml:space="preserve">livelihoods </w:t>
      </w:r>
      <w:r w:rsidR="00AF3030" w:rsidRPr="00B672CA">
        <w:t>of</w:t>
      </w:r>
      <w:r w:rsidR="00D25D40" w:rsidRPr="00B672CA">
        <w:t xml:space="preserve"> smallholders and communities living in those </w:t>
      </w:r>
      <w:r w:rsidR="00AF3030" w:rsidRPr="00B672CA">
        <w:t>areas</w:t>
      </w:r>
      <w:r w:rsidR="00D25D40" w:rsidRPr="00B672CA">
        <w:t>.</w:t>
      </w:r>
    </w:p>
    <w:p w14:paraId="4C7537EC" w14:textId="21422551" w:rsidR="00D25D40" w:rsidRPr="00280BF9" w:rsidRDefault="00BA46AF" w:rsidP="001652B1">
      <w:pPr>
        <w:pStyle w:val="Para"/>
      </w:pPr>
      <w:r w:rsidRPr="00B672CA">
        <w:t>T</w:t>
      </w:r>
      <w:r w:rsidR="00D25D40" w:rsidRPr="00B672CA">
        <w:t>he proposed project will deploy</w:t>
      </w:r>
      <w:r w:rsidRPr="00B672CA">
        <w:t xml:space="preserve"> resources from the </w:t>
      </w:r>
      <w:r w:rsidR="00005AAD" w:rsidRPr="00B672CA">
        <w:t>&amp;Green Fund</w:t>
      </w:r>
      <w:r w:rsidR="00D25D40" w:rsidRPr="00B672CA">
        <w:t xml:space="preserve"> to de-risk and leverage private sector investments in sustainable agricultural production on the condition of strict forest protection</w:t>
      </w:r>
      <w:r w:rsidR="008F5206" w:rsidRPr="00B672CA">
        <w:t xml:space="preserve"> and/or restoration</w:t>
      </w:r>
      <w:r w:rsidR="00D25D40" w:rsidRPr="00B672CA">
        <w:t xml:space="preserve"> measures. Interventions will include provisions to improve access to capital to finance the core commercial activities related to production of agricultural commodities, and to finance at concessional rates (in order to make it financially attractive for the borrower or investee company). This will be in return for commitments to protect </w:t>
      </w:r>
      <w:r w:rsidR="00B40B90" w:rsidRPr="00B672CA">
        <w:t xml:space="preserve">and/or restore </w:t>
      </w:r>
      <w:r w:rsidR="00D25D40" w:rsidRPr="00B672CA">
        <w:t>forest</w:t>
      </w:r>
      <w:r w:rsidR="00F34F35" w:rsidRPr="00B672CA">
        <w:t>s</w:t>
      </w:r>
      <w:r w:rsidR="00D25D40" w:rsidRPr="00B672CA">
        <w:t xml:space="preserve"> and peatlands </w:t>
      </w:r>
      <w:r w:rsidR="00F34F35" w:rsidRPr="00B672CA">
        <w:t xml:space="preserve">that are </w:t>
      </w:r>
      <w:r w:rsidR="00D25D40" w:rsidRPr="00B672CA">
        <w:t xml:space="preserve">of high conservation value (HCV) and </w:t>
      </w:r>
      <w:r w:rsidR="00F34F35" w:rsidRPr="00B672CA">
        <w:t xml:space="preserve">have </w:t>
      </w:r>
      <w:r w:rsidR="00D25D40" w:rsidRPr="00B672CA">
        <w:t>high carbon stocks (HCS). By providing access to cheap</w:t>
      </w:r>
      <w:r w:rsidR="00B40B90" w:rsidRPr="00B672CA">
        <w:t>er</w:t>
      </w:r>
      <w:r w:rsidR="00D25D40" w:rsidRPr="00B672CA">
        <w:t xml:space="preserve"> credit, the </w:t>
      </w:r>
      <w:r w:rsidR="00005AAD" w:rsidRPr="00B672CA">
        <w:t>&amp;Green Fund</w:t>
      </w:r>
      <w:r w:rsidR="00397AF1" w:rsidRPr="00B672CA">
        <w:t xml:space="preserve"> </w:t>
      </w:r>
      <w:r w:rsidR="00D25D40" w:rsidRPr="00B672CA">
        <w:t>aims to contribute to changing the mindset</w:t>
      </w:r>
      <w:r w:rsidR="008F5206" w:rsidRPr="00B672CA">
        <w:t xml:space="preserve"> and operations</w:t>
      </w:r>
      <w:r w:rsidR="00D25D40" w:rsidRPr="00B672CA">
        <w:t xml:space="preserve"> of agricultural producers, </w:t>
      </w:r>
      <w:r w:rsidR="00D25D40" w:rsidRPr="00280BF9">
        <w:t>traders, retail</w:t>
      </w:r>
      <w:r w:rsidR="00F34F35" w:rsidRPr="00280BF9">
        <w:t>er</w:t>
      </w:r>
      <w:r w:rsidR="00D25D40" w:rsidRPr="00280BF9">
        <w:t xml:space="preserve">s as well as their financiers (bondholders, shareholders and lenders) that ‘zero-net deforestation’ is possible from a commercial perspective. </w:t>
      </w:r>
      <w:r w:rsidR="0078666B" w:rsidRPr="00280BF9">
        <w:t xml:space="preserve">The Project’s main outcome is </w:t>
      </w:r>
      <w:r w:rsidR="0078666B" w:rsidRPr="00280BF9">
        <w:rPr>
          <w:b/>
          <w:bCs/>
        </w:rPr>
        <w:t>“Private finance leveraged on a 5:1 ratio as a result of the de-risking funding provided by the &amp;Green Fund in the seven landscapes (across 3 countries: Indonesia, Liberia and Brazil”</w:t>
      </w:r>
      <w:r w:rsidR="0078666B" w:rsidRPr="00280BF9">
        <w:t xml:space="preserve"> This outcome will be achieved with interventions </w:t>
      </w:r>
      <w:r w:rsidR="001652B1" w:rsidRPr="00280BF9">
        <w:t>for the</w:t>
      </w:r>
      <w:r w:rsidR="0078666B" w:rsidRPr="00280BF9">
        <w:t xml:space="preserve"> </w:t>
      </w:r>
      <w:r w:rsidR="00FA2997" w:rsidRPr="00280BF9">
        <w:t xml:space="preserve">formation of the capital </w:t>
      </w:r>
      <w:r w:rsidR="001652B1" w:rsidRPr="00280BF9">
        <w:t>(Output 1.3);</w:t>
      </w:r>
      <w:r w:rsidR="00FA2997" w:rsidRPr="00280BF9">
        <w:t xml:space="preserve"> the development of the fundable investments</w:t>
      </w:r>
      <w:r w:rsidR="001652B1" w:rsidRPr="00280BF9">
        <w:t xml:space="preserve"> (Output 1.1); operationalization of the Fund (Output 1.2) and establishment of a system for monitoring impacts.</w:t>
      </w:r>
      <w:r w:rsidR="0078666B" w:rsidRPr="00280BF9">
        <w:t xml:space="preserve"> </w:t>
      </w:r>
      <w:r w:rsidR="00D25D40" w:rsidRPr="00280BF9">
        <w:t>The main outputs of the proposed project are described below.</w:t>
      </w:r>
    </w:p>
    <w:p w14:paraId="51165622" w14:textId="33D6F4B9" w:rsidR="00A8728E" w:rsidRPr="00B672CA" w:rsidRDefault="00A8728E" w:rsidP="00A8728E">
      <w:pPr>
        <w:pStyle w:val="Heading3"/>
        <w:rPr>
          <w:lang w:val="en-US"/>
        </w:rPr>
      </w:pPr>
      <w:r w:rsidRPr="00B672CA">
        <w:rPr>
          <w:lang w:val="en-US"/>
        </w:rPr>
        <w:t>Output 1.1 Investment pipeline developed</w:t>
      </w:r>
      <w:r w:rsidR="00FA74EE" w:rsidRPr="00B672CA">
        <w:rPr>
          <w:lang w:val="en-US"/>
        </w:rPr>
        <w:t xml:space="preserve"> to create proof-of-concept for </w:t>
      </w:r>
      <w:r w:rsidRPr="00B672CA">
        <w:rPr>
          <w:lang w:val="en-US"/>
        </w:rPr>
        <w:t xml:space="preserve">PPI deals (fully funded by </w:t>
      </w:r>
      <w:r w:rsidR="007E61ED" w:rsidRPr="00B672CA">
        <w:rPr>
          <w:lang w:val="en-US"/>
        </w:rPr>
        <w:t xml:space="preserve">USD 30 million </w:t>
      </w:r>
      <w:r w:rsidRPr="00B672CA">
        <w:rPr>
          <w:lang w:val="en-US"/>
        </w:rPr>
        <w:t>co-financing</w:t>
      </w:r>
      <w:r w:rsidR="007E61ED" w:rsidRPr="00B672CA">
        <w:rPr>
          <w:lang w:val="en-US"/>
        </w:rPr>
        <w:t xml:space="preserve"> </w:t>
      </w:r>
      <w:r w:rsidR="00D24087" w:rsidRPr="00B672CA">
        <w:rPr>
          <w:lang w:val="en-US"/>
        </w:rPr>
        <w:t>from NICFI/</w:t>
      </w:r>
      <w:r w:rsidR="007E61ED" w:rsidRPr="00B672CA">
        <w:rPr>
          <w:lang w:val="en-US"/>
        </w:rPr>
        <w:t>IDH</w:t>
      </w:r>
      <w:r w:rsidRPr="00B672CA">
        <w:rPr>
          <w:lang w:val="en-US"/>
        </w:rPr>
        <w:t>)</w:t>
      </w:r>
    </w:p>
    <w:p w14:paraId="60F33A9B" w14:textId="570FCBD7" w:rsidR="00A8728E" w:rsidRPr="00B672CA" w:rsidRDefault="00D24087" w:rsidP="00B37DAC">
      <w:pPr>
        <w:pStyle w:val="Para"/>
      </w:pPr>
      <w:r w:rsidRPr="00B672CA">
        <w:t xml:space="preserve">As in the case of renewable energy, subsidies – in this case in the form of concessional finance through the </w:t>
      </w:r>
      <w:r w:rsidR="00005AAD" w:rsidRPr="00B672CA">
        <w:t>&amp;Green Fund</w:t>
      </w:r>
      <w:r w:rsidRPr="00B672CA">
        <w:t xml:space="preserve"> and grants to develop a pipeline of investable projects in the 7 landscapes – are necessary to pave the way for a changing mindset and build a current nascent asset class for ‘sustainable land management’. IDH will work on compacts with the private sector in the target landscapes that serve to meet the Landscape Protection Plan criteria as outlined in the Environmental and Social Management System (ESMS) of the </w:t>
      </w:r>
      <w:r w:rsidR="00005AAD" w:rsidRPr="00B672CA">
        <w:t>&amp;Green Fund</w:t>
      </w:r>
      <w:r w:rsidRPr="00B672CA">
        <w:t xml:space="preserve">. These criteria must be met before the fund can take the lead on the investment process in the target landscapes. </w:t>
      </w:r>
      <w:r w:rsidR="007B4DD6" w:rsidRPr="00B672CA">
        <w:t xml:space="preserve">Under this output a </w:t>
      </w:r>
      <w:r w:rsidR="00A8728E" w:rsidRPr="00B672CA">
        <w:t xml:space="preserve">robust pipeline </w:t>
      </w:r>
      <w:r w:rsidRPr="00B672CA">
        <w:t xml:space="preserve">of investable projects </w:t>
      </w:r>
      <w:r w:rsidR="007B4DD6" w:rsidRPr="00B672CA">
        <w:t xml:space="preserve">will be developed </w:t>
      </w:r>
      <w:r w:rsidR="00A8728E" w:rsidRPr="00B672CA">
        <w:t xml:space="preserve">with </w:t>
      </w:r>
      <w:r w:rsidRPr="00B672CA">
        <w:t xml:space="preserve">the help of </w:t>
      </w:r>
      <w:r w:rsidR="00A8728E" w:rsidRPr="00B672CA">
        <w:t>dedicated investment team</w:t>
      </w:r>
      <w:r w:rsidR="009718AD" w:rsidRPr="00B672CA">
        <w:t>s</w:t>
      </w:r>
      <w:r w:rsidRPr="00B672CA">
        <w:t xml:space="preserve"> </w:t>
      </w:r>
      <w:r w:rsidR="009718AD" w:rsidRPr="00B672CA">
        <w:t>based in-country.</w:t>
      </w:r>
      <w:r w:rsidR="00684DFB" w:rsidRPr="00B672CA">
        <w:t xml:space="preserve"> </w:t>
      </w:r>
      <w:r w:rsidR="00A8728E" w:rsidRPr="00B672CA">
        <w:t xml:space="preserve">In developing a robust pipeline, the investment team will pay specific attention to inclusion of smallholder farmers where appropriate. A proper balance will be sought to optimize environmental impact, social impact, and scalability. </w:t>
      </w:r>
    </w:p>
    <w:p w14:paraId="47EF48AD" w14:textId="742B7EF0" w:rsidR="00D25D40" w:rsidRPr="00B672CA" w:rsidRDefault="00D25D40" w:rsidP="00D25D40">
      <w:pPr>
        <w:pStyle w:val="Heading3"/>
        <w:rPr>
          <w:lang w:val="en-US"/>
        </w:rPr>
      </w:pPr>
      <w:r w:rsidRPr="00B672CA">
        <w:rPr>
          <w:lang w:val="en-US"/>
        </w:rPr>
        <w:t>Output 1.</w:t>
      </w:r>
      <w:r w:rsidR="00A8728E" w:rsidRPr="00B672CA">
        <w:rPr>
          <w:lang w:val="en-US"/>
        </w:rPr>
        <w:t xml:space="preserve">2 </w:t>
      </w:r>
      <w:r w:rsidRPr="00B672CA">
        <w:rPr>
          <w:lang w:val="en-US"/>
        </w:rPr>
        <w:t>US$ 2</w:t>
      </w:r>
      <w:r w:rsidR="0006134E" w:rsidRPr="00B672CA">
        <w:rPr>
          <w:lang w:val="en-US"/>
        </w:rPr>
        <w:t>4</w:t>
      </w:r>
      <w:r w:rsidRPr="00B672CA">
        <w:rPr>
          <w:lang w:val="en-US"/>
        </w:rPr>
        <w:t xml:space="preserve"> million invested in de-risking commercial financing of agricultural production in exchange for a </w:t>
      </w:r>
      <w:r w:rsidR="0006134E" w:rsidRPr="00280BF9">
        <w:rPr>
          <w:lang w:val="en-US"/>
        </w:rPr>
        <w:t xml:space="preserve">landscape </w:t>
      </w:r>
      <w:r w:rsidRPr="00280BF9">
        <w:rPr>
          <w:lang w:val="en-US"/>
        </w:rPr>
        <w:t>protection plan (GEF: US$ 2 million</w:t>
      </w:r>
      <w:r w:rsidR="0068372B" w:rsidRPr="00280BF9">
        <w:rPr>
          <w:lang w:val="en-US"/>
        </w:rPr>
        <w:t xml:space="preserve"> (1.925 million for the fund, 0.075 million for project evaluations)</w:t>
      </w:r>
      <w:r w:rsidRPr="00280BF9">
        <w:rPr>
          <w:lang w:val="en-US"/>
        </w:rPr>
        <w:t>; Co-financing: US$22 million)</w:t>
      </w:r>
      <w:r w:rsidR="0037373F" w:rsidRPr="00280BF9">
        <w:rPr>
          <w:rStyle w:val="FootnoteReference"/>
          <w:i w:val="0"/>
        </w:rPr>
        <w:footnoteReference w:id="32"/>
      </w:r>
    </w:p>
    <w:p w14:paraId="41C3FCEC" w14:textId="3A5562D1" w:rsidR="00D25D40" w:rsidRPr="00B672CA" w:rsidRDefault="00D25D40" w:rsidP="00B37DAC">
      <w:pPr>
        <w:pStyle w:val="Para"/>
      </w:pPr>
      <w:r w:rsidRPr="00B672CA">
        <w:rPr>
          <w:u w:val="single"/>
        </w:rPr>
        <w:t>Overall investment logic</w:t>
      </w:r>
      <w:r w:rsidRPr="00B672CA">
        <w:t xml:space="preserve">: The </w:t>
      </w:r>
      <w:r w:rsidR="00005AAD" w:rsidRPr="00B672CA">
        <w:t>&amp;Green Fund</w:t>
      </w:r>
      <w:r w:rsidR="00397AF1" w:rsidRPr="00B672CA">
        <w:t xml:space="preserve"> </w:t>
      </w:r>
      <w:r w:rsidRPr="00B672CA">
        <w:t xml:space="preserve">is expected to have an impact on mainstream operations of financial institutions by </w:t>
      </w:r>
      <w:r w:rsidR="008F5206" w:rsidRPr="00B672CA">
        <w:t xml:space="preserve">enabling them to set up </w:t>
      </w:r>
      <w:r w:rsidRPr="00B672CA">
        <w:t xml:space="preserve">a credit portfolio of </w:t>
      </w:r>
      <w:r w:rsidR="008F5206" w:rsidRPr="00B672CA">
        <w:t>‘</w:t>
      </w:r>
      <w:r w:rsidRPr="00B672CA">
        <w:t>production-protection</w:t>
      </w:r>
      <w:r w:rsidR="008F5206" w:rsidRPr="00B672CA">
        <w:t xml:space="preserve"> and inclusion</w:t>
      </w:r>
      <w:r w:rsidRPr="00B672CA">
        <w:t xml:space="preserve"> investments</w:t>
      </w:r>
      <w:r w:rsidR="008F5206" w:rsidRPr="00B672CA">
        <w:t>’</w:t>
      </w:r>
      <w:r w:rsidRPr="00B672CA">
        <w:t xml:space="preserve"> that are profitable and no longer perceived as being of above-market risk. Cost of capital can be a major driver in the way supply chains are shaped. In that sense, the </w:t>
      </w:r>
      <w:r w:rsidR="00005AAD" w:rsidRPr="00B672CA">
        <w:t>&amp;Green Fund</w:t>
      </w:r>
      <w:r w:rsidR="00397AF1" w:rsidRPr="00B672CA">
        <w:t xml:space="preserve"> </w:t>
      </w:r>
      <w:r w:rsidRPr="00B672CA">
        <w:t>can be considered a litmus test to see if concessional finance in support of production</w:t>
      </w:r>
      <w:r w:rsidR="00CC1639" w:rsidRPr="00B672CA">
        <w:t xml:space="preserve">, </w:t>
      </w:r>
      <w:r w:rsidRPr="00B672CA">
        <w:t>protection</w:t>
      </w:r>
      <w:r w:rsidR="00CC1639" w:rsidRPr="00B672CA">
        <w:t xml:space="preserve"> and inclusion</w:t>
      </w:r>
      <w:r w:rsidRPr="00B672CA">
        <w:t xml:space="preserve"> schemes is able to shape the agricultural supply chain in a significant manner. If that is indeed the case, then there is scope to expand it to other countries or landscapes. Some details on the specific approach in each country </w:t>
      </w:r>
      <w:r w:rsidR="00DB0574" w:rsidRPr="00B672CA">
        <w:t>are</w:t>
      </w:r>
      <w:r w:rsidRPr="00B672CA">
        <w:t xml:space="preserve"> provided below.</w:t>
      </w:r>
    </w:p>
    <w:p w14:paraId="16CACF0A" w14:textId="61A5110E" w:rsidR="00D25D40" w:rsidRPr="00B672CA" w:rsidRDefault="00D25D40" w:rsidP="00B37DAC">
      <w:pPr>
        <w:pStyle w:val="Para"/>
      </w:pPr>
      <w:r w:rsidRPr="00B672CA">
        <w:rPr>
          <w:u w:val="single"/>
        </w:rPr>
        <w:t>Investment logic in Brazil</w:t>
      </w:r>
      <w:r w:rsidRPr="00B672CA">
        <w:t xml:space="preserve">: The focus will be on a limited number of deals with large-scale intermediaries (“investees”) who have large agricultural production financing portfolios with producers/ land-users on the ground. There are two critical elements to the investment logic in Brazil. Firstly, it is built on the investees’ motivation to support restoration and reforestation of degraded land because Brazilian law will make them liable if they transact with producers who are not in compliance with the Forest Code. Secondly, it leverages the investees’ existing array of financial products for agricultural production, including the state rural credit lines, by including new performance criteria related to protection in exchange for the de-risking of their agricultural production financing portfolios. Deals will be structured with the investees wherein the </w:t>
      </w:r>
      <w:r w:rsidR="00005AAD" w:rsidRPr="00B672CA">
        <w:t>&amp;Green Fund</w:t>
      </w:r>
      <w:r w:rsidRPr="00B672CA">
        <w:t xml:space="preserve"> will de-risk their production finance portfolio with a defined set of producers, against a binding agreement to deliver hectares of forests </w:t>
      </w:r>
      <w:r w:rsidR="00600919" w:rsidRPr="00B672CA">
        <w:t>conserved</w:t>
      </w:r>
      <w:r w:rsidRPr="00B672CA">
        <w:t xml:space="preserve"> in this portfolio. This agreement is based on the target that all participating producers must </w:t>
      </w:r>
      <w:r w:rsidR="00600919" w:rsidRPr="00B672CA">
        <w:t xml:space="preserve">restore </w:t>
      </w:r>
      <w:r w:rsidRPr="00B672CA">
        <w:t xml:space="preserve">their deficits in riparian areas within 5 years (instead of 20 years as allowed by </w:t>
      </w:r>
      <w:r w:rsidR="004B3FD6" w:rsidRPr="00B672CA">
        <w:t xml:space="preserve">Brazilian </w:t>
      </w:r>
      <w:r w:rsidRPr="00B672CA">
        <w:t xml:space="preserve">law) and conserve their legal reserves as stipulated by law. Based on the de-risking offer from the </w:t>
      </w:r>
      <w:r w:rsidR="00005AAD" w:rsidRPr="00B672CA">
        <w:t>&amp;Green Fund</w:t>
      </w:r>
      <w:r w:rsidRPr="00B672CA">
        <w:t>, investees will develop and promote new agricultural production finance products with financial benefits for their existing clients who are, thus, enticed to restore and reforest within 5 years.</w:t>
      </w:r>
    </w:p>
    <w:p w14:paraId="7D757C49" w14:textId="5F704E9A" w:rsidR="00D25D40" w:rsidRPr="00B672CA" w:rsidRDefault="00D25D40" w:rsidP="00B37DAC">
      <w:pPr>
        <w:pStyle w:val="Para"/>
      </w:pPr>
      <w:r w:rsidRPr="00B672CA">
        <w:rPr>
          <w:u w:val="single"/>
        </w:rPr>
        <w:t>Investment logic in Liberia</w:t>
      </w:r>
      <w:r w:rsidRPr="00B672CA">
        <w:t xml:space="preserve">: There are three critical elements to the investment logic in Liberia. Firstly, concession agreements of oil palm concessionaires require that 20% of the developed farmland in their gross concession be allocated to outgrowers. These companies provide a market opportunity, as well as manage the investment in palm oil development for the full credit cycle and build technical capacity of the communities (through employment and training). Secondly, the </w:t>
      </w:r>
      <w:r w:rsidR="00005AAD" w:rsidRPr="00B672CA">
        <w:t>&amp;Green Fund</w:t>
      </w:r>
      <w:r w:rsidRPr="00B672CA">
        <w:t xml:space="preserve"> will not invest if there is no PPI agreement in place that includes a long term protection plan for HCV and HCS forest in the gross concession landscape</w:t>
      </w:r>
      <w:r w:rsidR="00CC1639" w:rsidRPr="00B672CA">
        <w:t>. In other words</w:t>
      </w:r>
      <w:r w:rsidR="004B3FD6" w:rsidRPr="00B672CA">
        <w:t>,</w:t>
      </w:r>
      <w:r w:rsidR="00CC1639" w:rsidRPr="00B672CA">
        <w:t xml:space="preserve"> there needs to be </w:t>
      </w:r>
      <w:r w:rsidR="004B3FD6" w:rsidRPr="00B672CA">
        <w:t>a L</w:t>
      </w:r>
      <w:r w:rsidR="00CC1639" w:rsidRPr="00B672CA">
        <w:t xml:space="preserve">andscape </w:t>
      </w:r>
      <w:r w:rsidR="004B3FD6" w:rsidRPr="00B672CA">
        <w:t>P</w:t>
      </w:r>
      <w:r w:rsidR="00CC1639" w:rsidRPr="00B672CA">
        <w:t xml:space="preserve">rotection </w:t>
      </w:r>
      <w:r w:rsidR="004B3FD6" w:rsidRPr="00B672CA">
        <w:t xml:space="preserve">Plan (LPP) </w:t>
      </w:r>
      <w:r w:rsidR="00CC1639" w:rsidRPr="00B672CA">
        <w:t>in jurisdiction</w:t>
      </w:r>
      <w:r w:rsidR="004B3FD6" w:rsidRPr="00B672CA">
        <w:t>s</w:t>
      </w:r>
      <w:r w:rsidR="00CC1639" w:rsidRPr="00B672CA">
        <w:t xml:space="preserve"> where the </w:t>
      </w:r>
      <w:r w:rsidR="00005AAD" w:rsidRPr="00B672CA">
        <w:t>&amp;Green Fund</w:t>
      </w:r>
      <w:r w:rsidR="00CC1639" w:rsidRPr="00B672CA">
        <w:t xml:space="preserve"> </w:t>
      </w:r>
      <w:r w:rsidR="004B3FD6" w:rsidRPr="00B672CA">
        <w:t xml:space="preserve">provides concessional </w:t>
      </w:r>
      <w:r w:rsidR="00CC1639" w:rsidRPr="00B672CA">
        <w:t>finance</w:t>
      </w:r>
      <w:r w:rsidRPr="00B672CA">
        <w:t>. Thirdly, long term monitoring of compliance with the PPI agreement will be a requirement, with agreements being enforced through financial penalties in the case of non-compliance.</w:t>
      </w:r>
    </w:p>
    <w:p w14:paraId="1F2DEB91" w14:textId="588AD7C8" w:rsidR="00D25D40" w:rsidRPr="00B672CA" w:rsidRDefault="00D25D40" w:rsidP="00B37DAC">
      <w:pPr>
        <w:pStyle w:val="Para"/>
      </w:pPr>
      <w:r w:rsidRPr="00B672CA">
        <w:rPr>
          <w:u w:val="single"/>
        </w:rPr>
        <w:t>Investment logic in Indonesia</w:t>
      </w:r>
      <w:r w:rsidRPr="00B672CA">
        <w:t xml:space="preserve">: The focus in Indonesia is on a limited number of deals with large-scale intermediaries (“investees”) who manage agricultural production financing portfolios with producers/ land-users on the ground. These investees include banks and financial institutions (e.g., Rabobank, Bank Mandiri, </w:t>
      </w:r>
      <w:r w:rsidR="00CC1639" w:rsidRPr="00B672CA">
        <w:t xml:space="preserve">BNP Paribas </w:t>
      </w:r>
      <w:r w:rsidRPr="00B672CA">
        <w:t xml:space="preserve">and Standard Chartered), various agribusiness companies across the broader supply chain, and investment funds. There are two critical elements to the investment logic in Indonesia. Firstly, it is built on the investees’ inherent motivation to support restoration and reforestation, which is based on their own commitments and those of their clients (for FIs) or off-takers (for agribusinesses across the soft commodity </w:t>
      </w:r>
      <w:r w:rsidR="00CC1639" w:rsidRPr="00B672CA">
        <w:t>supply chain</w:t>
      </w:r>
      <w:r w:rsidRPr="00B672CA">
        <w:t xml:space="preserve">) that require it. Secondly, </w:t>
      </w:r>
      <w:r w:rsidR="00CC1639" w:rsidRPr="00B672CA">
        <w:t xml:space="preserve">the </w:t>
      </w:r>
      <w:r w:rsidR="00005AAD" w:rsidRPr="00B672CA">
        <w:t>&amp;Green Fund</w:t>
      </w:r>
      <w:r w:rsidR="00CC1639" w:rsidRPr="00B672CA">
        <w:t xml:space="preserve"> </w:t>
      </w:r>
      <w:r w:rsidRPr="00B672CA">
        <w:t xml:space="preserve">provides a financing option for investees whose clients/ suppliers face an access to finance gap – specifically longer-term finance – due to the high risks in making upstream agricultural investments. Collaboration and alignment with the recently </w:t>
      </w:r>
      <w:r w:rsidR="00CC1639" w:rsidRPr="00B672CA">
        <w:t xml:space="preserve">set up </w:t>
      </w:r>
      <w:r w:rsidRPr="00B672CA">
        <w:t>Tropical Landscapes Finance Facility will be sought where applicable and relevant.</w:t>
      </w:r>
    </w:p>
    <w:p w14:paraId="3FB2D4A5" w14:textId="16471B1D" w:rsidR="00D25D40" w:rsidRPr="00B672CA" w:rsidRDefault="00D25D40" w:rsidP="00B37DAC">
      <w:pPr>
        <w:pStyle w:val="Para"/>
      </w:pPr>
      <w:r w:rsidRPr="00B672CA">
        <w:rPr>
          <w:u w:val="single"/>
        </w:rPr>
        <w:t xml:space="preserve">Investment eligibility criteria for </w:t>
      </w:r>
      <w:r w:rsidR="00005AAD" w:rsidRPr="00B672CA">
        <w:rPr>
          <w:u w:val="single"/>
        </w:rPr>
        <w:t>&amp;Green Fund</w:t>
      </w:r>
      <w:r w:rsidRPr="00B672CA">
        <w:t xml:space="preserve">: The </w:t>
      </w:r>
      <w:r w:rsidR="00005AAD" w:rsidRPr="00B672CA">
        <w:t>&amp;Green Fund</w:t>
      </w:r>
      <w:r w:rsidRPr="00B672CA">
        <w:t xml:space="preserve"> invest</w:t>
      </w:r>
      <w:r w:rsidR="00690966" w:rsidRPr="00B672CA">
        <w:t>s</w:t>
      </w:r>
      <w:r w:rsidRPr="00B672CA">
        <w:t xml:space="preserve"> in jurisdictions that meet the </w:t>
      </w:r>
      <w:r w:rsidR="007C5A62" w:rsidRPr="00B672CA">
        <w:t xml:space="preserve">Jurisdictional </w:t>
      </w:r>
      <w:r w:rsidRPr="00B672CA">
        <w:t>Eligibility Criteria (</w:t>
      </w:r>
      <w:r w:rsidR="007C5A62" w:rsidRPr="00B672CA">
        <w:t>J</w:t>
      </w:r>
      <w:r w:rsidRPr="00B672CA">
        <w:t>EC)</w:t>
      </w:r>
      <w:r w:rsidR="00690966" w:rsidRPr="00B672CA">
        <w:t xml:space="preserve"> as</w:t>
      </w:r>
      <w:r w:rsidR="007C5A62" w:rsidRPr="00B672CA">
        <w:t xml:space="preserve"> specified in the Lending Policy of the </w:t>
      </w:r>
      <w:r w:rsidR="00005AAD" w:rsidRPr="00B672CA">
        <w:t>&amp;Green Fund</w:t>
      </w:r>
      <w:r w:rsidR="00690966" w:rsidRPr="00B672CA">
        <w:t xml:space="preserve">. </w:t>
      </w:r>
      <w:r w:rsidR="007C5A62" w:rsidRPr="00B672CA">
        <w:t xml:space="preserve"> </w:t>
      </w:r>
      <w:r w:rsidR="00690966" w:rsidRPr="00B672CA">
        <w:t xml:space="preserve">It is expected that the </w:t>
      </w:r>
      <w:r w:rsidRPr="00B672CA">
        <w:t xml:space="preserve">7 landscapes </w:t>
      </w:r>
      <w:r w:rsidR="00690966" w:rsidRPr="00B672CA">
        <w:t xml:space="preserve">– where </w:t>
      </w:r>
      <w:r w:rsidRPr="00B672CA">
        <w:t>IDH will convene multi-stakeholder coalitions</w:t>
      </w:r>
      <w:r w:rsidR="00690966" w:rsidRPr="00B672CA">
        <w:t xml:space="preserve"> that result </w:t>
      </w:r>
      <w:r w:rsidRPr="00B672CA">
        <w:t>in</w:t>
      </w:r>
      <w:r w:rsidR="00CC1639" w:rsidRPr="00B672CA">
        <w:t xml:space="preserve"> jurisdiction</w:t>
      </w:r>
      <w:r w:rsidR="00FF6FC4" w:rsidRPr="00B672CA">
        <w:t>s meeting the eligibility criteria (JEC)</w:t>
      </w:r>
      <w:r w:rsidRPr="00B672CA">
        <w:t xml:space="preserve">, PPI compacts and potential deals for the </w:t>
      </w:r>
      <w:r w:rsidR="00005AAD" w:rsidRPr="00B672CA">
        <w:t>&amp;Green Fund</w:t>
      </w:r>
      <w:r w:rsidRPr="00B672CA">
        <w:t xml:space="preserve"> to invest in</w:t>
      </w:r>
      <w:r w:rsidR="00690966" w:rsidRPr="00B672CA">
        <w:t xml:space="preserve"> – will </w:t>
      </w:r>
      <w:r w:rsidRPr="00B672CA">
        <w:t xml:space="preserve">meet the </w:t>
      </w:r>
      <w:r w:rsidR="00690966" w:rsidRPr="00B672CA">
        <w:t>J</w:t>
      </w:r>
      <w:r w:rsidRPr="00B672CA">
        <w:t>EC.</w:t>
      </w:r>
      <w:r w:rsidR="00690966" w:rsidRPr="00B672CA">
        <w:t xml:space="preserve"> A summary of the JEC is provided below; the policy document containing this information will be available once it is made public.</w:t>
      </w:r>
    </w:p>
    <w:p w14:paraId="77B6E467" w14:textId="2F74D3DB" w:rsidR="00690966" w:rsidRPr="00B672CA" w:rsidRDefault="00690966" w:rsidP="00F533BE">
      <w:pPr>
        <w:pStyle w:val="Bullets1"/>
      </w:pPr>
      <w:r w:rsidRPr="00B672CA">
        <w:t xml:space="preserve">Criterion 1 – Scope: amount and quality of forest and/or peatland potential of the jurisdiction be significant and highly relevant from a global perspective on environmental conservation and climate change mitigation grounds </w:t>
      </w:r>
    </w:p>
    <w:p w14:paraId="32D59570" w14:textId="2F9DA17B" w:rsidR="00690966" w:rsidRPr="00B672CA" w:rsidRDefault="00690966" w:rsidP="00F533BE">
      <w:pPr>
        <w:pStyle w:val="Bullets1"/>
      </w:pPr>
      <w:r w:rsidRPr="00B672CA">
        <w:t>Criterion 2 – Ambition and strategy: clear quantitative target against historic rates of gross deforestation, which also reflects or goes further than established national targets, and a feasible strategy to reduce deforesta</w:t>
      </w:r>
      <w:r w:rsidR="008C3FE9" w:rsidRPr="00B672CA">
        <w:t xml:space="preserve">tion </w:t>
      </w:r>
      <w:r w:rsidRPr="00B672CA">
        <w:t>and forest and peatland degradation and restoration, within a specified timeframe</w:t>
      </w:r>
    </w:p>
    <w:p w14:paraId="7ADCB591" w14:textId="4054D07A" w:rsidR="00690966" w:rsidRPr="00B672CA" w:rsidRDefault="00690966" w:rsidP="00F533BE">
      <w:pPr>
        <w:pStyle w:val="Bullets1"/>
      </w:pPr>
      <w:r w:rsidRPr="00B672CA">
        <w:t>Criterion 3 – Progress: timely progress towards milestones of the strategy, including implementation of key policies, and measurably on a trajectory towards the targets for reduced deforestation</w:t>
      </w:r>
    </w:p>
    <w:p w14:paraId="04E6EDB5" w14:textId="0FC14A1B" w:rsidR="00690966" w:rsidRPr="00B672CA" w:rsidRDefault="00690966" w:rsidP="00F533BE">
      <w:pPr>
        <w:pStyle w:val="Bullets1"/>
      </w:pPr>
      <w:r w:rsidRPr="00B672CA">
        <w:t>Criterion 4 – Monitoring, reporting and verification (MRV): transparent system is operational for monitoring, measuring, reporting and verifying reductions in deforestation and, where relevant, forest and peat degradation and restoration, against an established baseline</w:t>
      </w:r>
    </w:p>
    <w:p w14:paraId="0C98548E" w14:textId="109B191B" w:rsidR="00690966" w:rsidRPr="00B672CA" w:rsidRDefault="00690966" w:rsidP="00F533BE">
      <w:pPr>
        <w:pStyle w:val="Bullets1"/>
      </w:pPr>
      <w:r w:rsidRPr="00B672CA">
        <w:t xml:space="preserve">Criterion 5 – Social and environmental safeguards: in accordance with the Cancun Agreement, at the national level, the appropriate policies and legal and regulatory frameworks (including relevant safeguards) are in place to mitigate the social and environmental risks associated with implementing the strategy </w:t>
      </w:r>
    </w:p>
    <w:p w14:paraId="4147C890" w14:textId="20B24E94" w:rsidR="00D25D40" w:rsidRPr="00B672CA" w:rsidRDefault="00D25D40" w:rsidP="00B37DAC">
      <w:pPr>
        <w:pStyle w:val="Para"/>
      </w:pPr>
      <w:r w:rsidRPr="00B672CA">
        <w:rPr>
          <w:u w:val="single"/>
        </w:rPr>
        <w:t xml:space="preserve">Concessional finance instruments to be provided by the </w:t>
      </w:r>
      <w:r w:rsidR="00005AAD" w:rsidRPr="00B672CA">
        <w:rPr>
          <w:u w:val="single"/>
        </w:rPr>
        <w:t>&amp;Green Fund</w:t>
      </w:r>
      <w:r w:rsidRPr="00B672CA">
        <w:t xml:space="preserve">: When the </w:t>
      </w:r>
      <w:r w:rsidR="00005AAD" w:rsidRPr="00B672CA">
        <w:t>&amp;Green Fund</w:t>
      </w:r>
      <w:r w:rsidRPr="00B672CA">
        <w:t xml:space="preserve"> transacts, it is able to provide various debt products in order to make a project work. The </w:t>
      </w:r>
      <w:r w:rsidR="00FF6FC4" w:rsidRPr="00B672CA">
        <w:t xml:space="preserve">Credit </w:t>
      </w:r>
      <w:r w:rsidRPr="00B672CA">
        <w:t xml:space="preserve">Committee will assess whether or not the proposed concessional finance instrument is acceptable in order for the project to be successful financially and from an environmental impact perspective. </w:t>
      </w:r>
      <w:r w:rsidR="00FF6FC4" w:rsidRPr="00B672CA">
        <w:t xml:space="preserve">Sail Ventures as Investment Manager of the </w:t>
      </w:r>
      <w:r w:rsidR="00005AAD" w:rsidRPr="00B672CA">
        <w:t>&amp;Green Fund</w:t>
      </w:r>
      <w:r w:rsidRPr="00B672CA">
        <w:t xml:space="preserve">, along with the </w:t>
      </w:r>
      <w:r w:rsidR="00FF6FC4" w:rsidRPr="00B672CA">
        <w:t xml:space="preserve">Credit </w:t>
      </w:r>
      <w:r w:rsidRPr="00B672CA">
        <w:t xml:space="preserve">Committee, will focus on two main high-level criteria when assessing the type of instrument or mechanism needed: (i) the </w:t>
      </w:r>
      <w:r w:rsidR="00FF6FC4" w:rsidRPr="00B672CA">
        <w:t>investment</w:t>
      </w:r>
      <w:r w:rsidRPr="00B672CA">
        <w:t xml:space="preserve"> as a whole needs to make commercial sense over the term of the financing; and (ii) the </w:t>
      </w:r>
      <w:r w:rsidR="00FF6FC4" w:rsidRPr="00B672CA">
        <w:t xml:space="preserve">investment </w:t>
      </w:r>
      <w:r w:rsidRPr="00B672CA">
        <w:t>needs to deliver sufficient impact (specifically, in terms of hectares of protected</w:t>
      </w:r>
      <w:r w:rsidR="001F22F7" w:rsidRPr="00B672CA">
        <w:t xml:space="preserve"> and/or restored</w:t>
      </w:r>
      <w:r w:rsidRPr="00B672CA">
        <w:t xml:space="preserve"> forest as per the </w:t>
      </w:r>
      <w:r w:rsidR="00005AAD" w:rsidRPr="00B672CA">
        <w:t>&amp;Green Fund</w:t>
      </w:r>
      <w:r w:rsidRPr="00B672CA">
        <w:t>’s own criteria).</w:t>
      </w:r>
      <w:r w:rsidR="00FF6FC4" w:rsidRPr="00B672CA">
        <w:t xml:space="preserve"> The</w:t>
      </w:r>
      <w:r w:rsidR="007F5F4C" w:rsidRPr="00B672CA">
        <w:t xml:space="preserve"> fund</w:t>
      </w:r>
      <w:r w:rsidR="00FF6FC4" w:rsidRPr="00B672CA">
        <w:t xml:space="preserve"> will make use of a full range of credit instruments (term loans, notes, guarantees), and aims to maximize leverage from partner financial institutions and borrowers. The</w:t>
      </w:r>
      <w:r w:rsidR="007F5F4C" w:rsidRPr="00B672CA">
        <w:t xml:space="preserve"> fund</w:t>
      </w:r>
      <w:r w:rsidR="00FF6FC4" w:rsidRPr="00B672CA">
        <w:t xml:space="preserve"> may seek to obtain a profit share participation in a project or company cash flows in addition to its fixed interest compensation but is not in a position to manage or dispose of equity and will therefore not pursue transactions that involve mezzanine finance or convertible debt provisions</w:t>
      </w:r>
      <w:r w:rsidR="00684DFB" w:rsidRPr="00B672CA">
        <w:t>. Current expectation is that the</w:t>
      </w:r>
      <w:r w:rsidR="007F5F4C" w:rsidRPr="00B672CA">
        <w:t xml:space="preserve"> fund</w:t>
      </w:r>
      <w:r w:rsidR="00684DFB" w:rsidRPr="00B672CA">
        <w:t xml:space="preserve"> will be split roughly 50/30/20 between direct credit, mezzanine (e.g. with profit participation etc.), and guarantees</w:t>
      </w:r>
      <w:r w:rsidR="00684DFB" w:rsidRPr="00B672CA">
        <w:rPr>
          <w:rStyle w:val="FootnoteReference"/>
          <w:sz w:val="21"/>
          <w:szCs w:val="21"/>
        </w:rPr>
        <w:t xml:space="preserve"> </w:t>
      </w:r>
      <w:r w:rsidRPr="00B672CA">
        <w:rPr>
          <w:rStyle w:val="FootnoteReference"/>
          <w:sz w:val="21"/>
          <w:szCs w:val="21"/>
        </w:rPr>
        <w:footnoteReference w:id="33"/>
      </w:r>
      <w:r w:rsidRPr="00B672CA">
        <w:t xml:space="preserve">: </w:t>
      </w:r>
    </w:p>
    <w:p w14:paraId="79E609A3" w14:textId="55460C48" w:rsidR="00D25D40" w:rsidRPr="00B672CA" w:rsidRDefault="00D25D40" w:rsidP="00F533BE">
      <w:pPr>
        <w:pStyle w:val="Bullets1"/>
      </w:pPr>
      <w:r w:rsidRPr="00B672CA">
        <w:t>Credit Guarantee/ Partial Credit Guarantee: Credit guarantees will be a commitment to</w:t>
      </w:r>
      <w:r w:rsidR="00EF28F6" w:rsidRPr="00B672CA">
        <w:t xml:space="preserve"> partially</w:t>
      </w:r>
      <w:r w:rsidRPr="00B672CA">
        <w:t xml:space="preserve"> reimburse lenders in case borrowers fail to repay a loan</w:t>
      </w:r>
    </w:p>
    <w:p w14:paraId="090C9D71" w14:textId="27ED9DFB" w:rsidR="00D25D40" w:rsidRPr="00B672CA" w:rsidRDefault="00EF28F6" w:rsidP="00F533BE">
      <w:pPr>
        <w:pStyle w:val="Bullets1"/>
      </w:pPr>
      <w:r w:rsidRPr="00B672CA">
        <w:t xml:space="preserve">Mezzanine </w:t>
      </w:r>
      <w:r w:rsidR="00D25D40" w:rsidRPr="00B672CA">
        <w:t xml:space="preserve">Financing: The </w:t>
      </w:r>
      <w:r w:rsidR="00005AAD" w:rsidRPr="00B672CA">
        <w:t>&amp;Green Fund</w:t>
      </w:r>
      <w:r w:rsidR="00D25D40" w:rsidRPr="00B672CA">
        <w:t xml:space="preserve"> will provide </w:t>
      </w:r>
      <w:r w:rsidRPr="00B672CA">
        <w:t xml:space="preserve">debt (whether structured as a loan or guarantee) - with a delayed returns from profit participation or interest rate step-ups, etc. - </w:t>
      </w:r>
      <w:r w:rsidR="00D25D40" w:rsidRPr="00B672CA">
        <w:t xml:space="preserve"> that will enable companies and financial institutions to take financial risks on small holders, thereby facilitating local livelihoods</w:t>
      </w:r>
    </w:p>
    <w:p w14:paraId="54248240" w14:textId="5E05B738" w:rsidR="00375938" w:rsidRPr="00B672CA" w:rsidRDefault="00D25D40" w:rsidP="00F533BE">
      <w:pPr>
        <w:pStyle w:val="Bullets1"/>
      </w:pPr>
      <w:r w:rsidRPr="00B672CA">
        <w:t xml:space="preserve">Concessional loans: The </w:t>
      </w:r>
      <w:r w:rsidR="00005AAD" w:rsidRPr="00B672CA">
        <w:t>&amp;Green Fund</w:t>
      </w:r>
      <w:r w:rsidRPr="00B672CA">
        <w:t xml:space="preserve"> will offer</w:t>
      </w:r>
      <w:r w:rsidR="00EF28F6" w:rsidRPr="00B672CA">
        <w:t xml:space="preserve"> </w:t>
      </w:r>
      <w:r w:rsidRPr="00B672CA">
        <w:t>loans</w:t>
      </w:r>
      <w:r w:rsidR="00EF28F6" w:rsidRPr="00B672CA">
        <w:t>, within a syndication,</w:t>
      </w:r>
      <w:r w:rsidRPr="00B672CA">
        <w:t xml:space="preserve"> </w:t>
      </w:r>
      <w:r w:rsidR="00EF28F6" w:rsidRPr="00B672CA">
        <w:t xml:space="preserve">subordinate to other investors </w:t>
      </w:r>
      <w:r w:rsidRPr="00B672CA">
        <w:t xml:space="preserve">in return for forest protection </w:t>
      </w:r>
      <w:r w:rsidR="001F22F7" w:rsidRPr="00B672CA">
        <w:t xml:space="preserve">and/or restoration </w:t>
      </w:r>
      <w:r w:rsidR="0059457F" w:rsidRPr="00B672CA">
        <w:t>commitments.</w:t>
      </w:r>
    </w:p>
    <w:p w14:paraId="0DCB0917" w14:textId="302EE85D" w:rsidR="00543932" w:rsidRPr="00B672CA" w:rsidRDefault="00543932" w:rsidP="00B37DAC">
      <w:pPr>
        <w:pStyle w:val="Para"/>
      </w:pPr>
      <w:r w:rsidRPr="00B672CA">
        <w:rPr>
          <w:u w:val="single"/>
        </w:rPr>
        <w:t>Loan size</w:t>
      </w:r>
      <w:r w:rsidRPr="00B672CA">
        <w:t xml:space="preserve">: The </w:t>
      </w:r>
      <w:r w:rsidR="00005AAD" w:rsidRPr="00B672CA">
        <w:t>&amp;Green Fund</w:t>
      </w:r>
      <w:r w:rsidRPr="00B672CA">
        <w:t xml:space="preserve"> will not take more than 25% of a project's total risk (unless in a least developed country where it can take up to 30% of the risk). There is no set minimum project size or</w:t>
      </w:r>
      <w:r w:rsidR="007F5F4C" w:rsidRPr="00B672CA">
        <w:t xml:space="preserve"> fund</w:t>
      </w:r>
      <w:r w:rsidRPr="00B672CA">
        <w:t xml:space="preserve"> contribution, however all projects must recover their direct costs and a proportionate share of overall fund costs, and include provision for default risk (see pricing philosophy section below). Given this, it is likely that the</w:t>
      </w:r>
      <w:r w:rsidR="007F5F4C" w:rsidRPr="00B672CA">
        <w:t xml:space="preserve"> fund</w:t>
      </w:r>
      <w:r w:rsidRPr="00B672CA">
        <w:t xml:space="preserve"> will mainly participate in projects where its own contribution totals at least US$5 million. The</w:t>
      </w:r>
      <w:r w:rsidR="007F5F4C" w:rsidRPr="00B672CA">
        <w:t xml:space="preserve"> fund</w:t>
      </w:r>
      <w:r w:rsidRPr="00B672CA">
        <w:t xml:space="preserve"> will target an average transaction size of US$ 10-15 million, although this may be lower during the early years whilst the</w:t>
      </w:r>
      <w:r w:rsidR="007F5F4C" w:rsidRPr="00B672CA">
        <w:t xml:space="preserve"> fund</w:t>
      </w:r>
      <w:r w:rsidRPr="00B672CA">
        <w:t xml:space="preserve"> is not fully capitalized.</w:t>
      </w:r>
      <w:r w:rsidR="00E26A81" w:rsidRPr="00B672CA">
        <w:t xml:space="preserve"> </w:t>
      </w:r>
    </w:p>
    <w:p w14:paraId="3E93E212" w14:textId="22B58BA8" w:rsidR="00E26A81" w:rsidRPr="00B672CA" w:rsidRDefault="00D25D40" w:rsidP="00B37DAC">
      <w:pPr>
        <w:pStyle w:val="Para"/>
      </w:pPr>
      <w:r w:rsidRPr="00B672CA">
        <w:rPr>
          <w:u w:val="single"/>
        </w:rPr>
        <w:t>Proposed tenor</w:t>
      </w:r>
      <w:r w:rsidRPr="00B672CA">
        <w:t xml:space="preserve">: </w:t>
      </w:r>
      <w:r w:rsidR="00E26A81" w:rsidRPr="00B672CA">
        <w:t xml:space="preserve">The </w:t>
      </w:r>
      <w:r w:rsidR="00005AAD" w:rsidRPr="00B672CA">
        <w:t>&amp;Green Fund</w:t>
      </w:r>
      <w:r w:rsidR="00E26A81" w:rsidRPr="00B672CA">
        <w:t xml:space="preserve"> has no set maximum tenor for its lending but will seek alignment on repayment periods with those of other lenders, whilst retaining the ability to accept longer repayment periods than partner financial institutions where necessary. All transactions must, however, have a defined maturity date at contract signing. </w:t>
      </w:r>
      <w:r w:rsidRPr="00B672CA">
        <w:t xml:space="preserve">For individual sub-projects under the </w:t>
      </w:r>
      <w:r w:rsidR="00005AAD" w:rsidRPr="00B672CA">
        <w:t>&amp;Green Fund</w:t>
      </w:r>
      <w:r w:rsidRPr="00B672CA">
        <w:t xml:space="preserve">, the tenor and grace period will be determined on a case-by-case basis to address the financial barriers in each sub-project. </w:t>
      </w:r>
      <w:r w:rsidR="00E26A81" w:rsidRPr="00B672CA">
        <w:t>Target investments are long-tenor with average duration greater than 7 years, and some greater than 12 years. Given the position of a redeemable grant in a distribution waterfall, its tenor is expected to be longer than any potential concessional (0-1%) loan. For the GEF funding, a 20 year tenor is being proposed for their contribution.</w:t>
      </w:r>
      <w:r w:rsidR="00A413CC" w:rsidRPr="00B672CA">
        <w:t xml:space="preserve"> This has been calculated as such to allow for the highly illiquid nature of the</w:t>
      </w:r>
      <w:r w:rsidR="007F5F4C" w:rsidRPr="00B672CA">
        <w:t xml:space="preserve"> fund</w:t>
      </w:r>
      <w:r w:rsidR="00A413CC" w:rsidRPr="00B672CA">
        <w:t>. The</w:t>
      </w:r>
      <w:r w:rsidR="007F5F4C" w:rsidRPr="00B672CA">
        <w:t xml:space="preserve"> fund</w:t>
      </w:r>
      <w:r w:rsidR="00A413CC" w:rsidRPr="00B672CA">
        <w:t xml:space="preserve"> has an Evergreen structure and will be providing long-term credit to clients, with flexible repayment schedules. The</w:t>
      </w:r>
      <w:r w:rsidR="007F5F4C" w:rsidRPr="00B672CA">
        <w:t xml:space="preserve"> fund</w:t>
      </w:r>
      <w:r w:rsidR="00A413CC" w:rsidRPr="00B672CA">
        <w:t xml:space="preserve">’s anchor investor has provided a grant with no redemption, and in order for GEF to maintain a </w:t>
      </w:r>
      <w:r w:rsidR="00A413CC" w:rsidRPr="00B672CA">
        <w:rPr>
          <w:i/>
        </w:rPr>
        <w:t>pari passu</w:t>
      </w:r>
      <w:r w:rsidR="00A413CC" w:rsidRPr="00B672CA">
        <w:t xml:space="preserve"> risk profile to the anchor investor, NICFI, it is expected that GEF would provide sufficient liquidity flexibility to the</w:t>
      </w:r>
      <w:r w:rsidR="007F5F4C" w:rsidRPr="00B672CA">
        <w:t xml:space="preserve"> fund</w:t>
      </w:r>
      <w:r w:rsidR="00A413CC" w:rsidRPr="00B672CA">
        <w:t>.</w:t>
      </w:r>
    </w:p>
    <w:p w14:paraId="03B4DCB4" w14:textId="1440506B" w:rsidR="00E26A81" w:rsidRPr="00B672CA" w:rsidRDefault="00E26A81" w:rsidP="00B37DAC">
      <w:pPr>
        <w:pStyle w:val="Para"/>
      </w:pPr>
      <w:r w:rsidRPr="00B672CA">
        <w:rPr>
          <w:u w:val="single"/>
        </w:rPr>
        <w:t>Pricing</w:t>
      </w:r>
      <w:r w:rsidRPr="00B672CA">
        <w:t xml:space="preserve">: The </w:t>
      </w:r>
      <w:r w:rsidR="00005AAD" w:rsidRPr="00B672CA">
        <w:t>&amp;Green Fund</w:t>
      </w:r>
      <w:r w:rsidRPr="00B672CA">
        <w:t xml:space="preserve"> will price its credit based primarily on credit risk and costs, with the overall objective of maintaining the</w:t>
      </w:r>
      <w:r w:rsidR="007F5F4C" w:rsidRPr="00B672CA">
        <w:t xml:space="preserve"> fund</w:t>
      </w:r>
      <w:r w:rsidRPr="00B672CA">
        <w:t>’s capital base in real terms over the long term (i.e., its returns on average cover its costs and losses). The</w:t>
      </w:r>
      <w:r w:rsidR="007F5F4C" w:rsidRPr="00B672CA">
        <w:t xml:space="preserve"> fund</w:t>
      </w:r>
      <w:r w:rsidRPr="00B672CA">
        <w:t xml:space="preserve"> will need to ensure sufficient levels of cost recovery to cover the cost of the capital the</w:t>
      </w:r>
      <w:r w:rsidR="007F5F4C" w:rsidRPr="00B672CA">
        <w:t xml:space="preserve"> fund</w:t>
      </w:r>
      <w:r w:rsidRPr="00B672CA">
        <w:t xml:space="preserve"> has raised, direct operating expenses as well as transaction costs. Transaction costs include all the costs incurred in developing, contracting, disbursing, monitoring, evaluating, and exiting a particular transaction. In projects in which the</w:t>
      </w:r>
      <w:r w:rsidR="007F5F4C" w:rsidRPr="00B672CA">
        <w:t xml:space="preserve"> fund</w:t>
      </w:r>
      <w:r w:rsidRPr="00B672CA">
        <w:t xml:space="preserve"> takes a subordinate position to other lenders, the fund may seek to have this increased risk compensated for through the</w:t>
      </w:r>
      <w:r w:rsidR="007F5F4C" w:rsidRPr="00B672CA">
        <w:t xml:space="preserve"> fund</w:t>
      </w:r>
      <w:r w:rsidRPr="00B672CA">
        <w:t>’s participation in the financial returns generated by the project. The environmental and social criteria of the</w:t>
      </w:r>
      <w:r w:rsidR="007F5F4C" w:rsidRPr="00B672CA">
        <w:t xml:space="preserve"> fund</w:t>
      </w:r>
      <w:r w:rsidRPr="00B672CA">
        <w:t xml:space="preserve"> may result in an increased cost for the borrower and potentially a higher financial risk for partner financial institutions, at least in the short term. The</w:t>
      </w:r>
      <w:r w:rsidR="007F5F4C" w:rsidRPr="00B672CA">
        <w:t xml:space="preserve"> fund</w:t>
      </w:r>
      <w:r w:rsidRPr="00B672CA">
        <w:t xml:space="preserve"> is able to take higher risk (subordinated) positions and offer financing at concessional rates in order to compensate for this.</w:t>
      </w:r>
    </w:p>
    <w:p w14:paraId="4C4D2459" w14:textId="4C686854" w:rsidR="002B1B84" w:rsidRPr="00B672CA" w:rsidRDefault="002B1B84" w:rsidP="00B37DAC">
      <w:pPr>
        <w:pStyle w:val="Para"/>
      </w:pPr>
      <w:r w:rsidRPr="00B672CA">
        <w:rPr>
          <w:u w:val="single"/>
        </w:rPr>
        <w:t>Currency</w:t>
      </w:r>
      <w:r w:rsidRPr="00B672CA">
        <w:t xml:space="preserve">: The </w:t>
      </w:r>
      <w:r w:rsidR="00005AAD" w:rsidRPr="00B672CA">
        <w:t>&amp;Green Fund</w:t>
      </w:r>
      <w:r w:rsidRPr="00B672CA">
        <w:t xml:space="preserve"> will transact mainly in USD. However it is able to take up to 30% of its portfolio in local currency (LCY) exposure for projects in which small-scale producers (e.g. smallholder farmers) are the direct beneficiaries of the project. Where possible and cost-effective, it will aim to hedge the LCY risk it is exposed to through its projects.</w:t>
      </w:r>
    </w:p>
    <w:p w14:paraId="37297E72" w14:textId="77777777" w:rsidR="00A0369A" w:rsidRPr="00B672CA" w:rsidRDefault="00A0369A" w:rsidP="00B37DAC">
      <w:pPr>
        <w:pStyle w:val="Para"/>
        <w:rPr>
          <w:rFonts w:eastAsiaTheme="minorHAnsi"/>
        </w:rPr>
      </w:pPr>
      <w:r w:rsidRPr="00B672CA">
        <w:rPr>
          <w:rFonts w:eastAsiaTheme="minorHAnsi"/>
          <w:u w:val="single"/>
        </w:rPr>
        <w:t>Additionality Criteria</w:t>
      </w:r>
      <w:r w:rsidRPr="00B672CA">
        <w:rPr>
          <w:rFonts w:eastAsiaTheme="minorHAnsi"/>
        </w:rPr>
        <w:t xml:space="preserve">: All credit facilities provided must be additional in terms of both E&amp;S impact and financial impact. Additionality is here understood as the extent to which something happens as the result of an intervention (e.g. lending) that would most likely not have occurred had this intervention not occurred. Where the environmental and social additionality of the transaction is particularly clear and compelling, a transaction may be approved even if the financial additionality criterion is not met, provided that there is a convincing scenario in which a transaction could be replicated or scaled up, thereby delivering financial additionality. </w:t>
      </w:r>
    </w:p>
    <w:p w14:paraId="75A49B7A" w14:textId="77727304" w:rsidR="00A0369A" w:rsidRPr="00B672CA" w:rsidRDefault="00A0369A" w:rsidP="00B37DAC">
      <w:pPr>
        <w:pStyle w:val="Para"/>
        <w:rPr>
          <w:rFonts w:eastAsiaTheme="minorHAnsi"/>
        </w:rPr>
      </w:pPr>
      <w:r w:rsidRPr="00B672CA">
        <w:rPr>
          <w:rFonts w:eastAsiaTheme="minorHAnsi"/>
          <w:u w:val="single"/>
        </w:rPr>
        <w:t>Financial Additionality</w:t>
      </w:r>
      <w:r w:rsidRPr="00B672CA">
        <w:rPr>
          <w:rFonts w:eastAsiaTheme="minorHAnsi"/>
        </w:rPr>
        <w:t>: The</w:t>
      </w:r>
      <w:r w:rsidR="007F5F4C" w:rsidRPr="00B672CA">
        <w:rPr>
          <w:rFonts w:eastAsiaTheme="minorHAnsi"/>
        </w:rPr>
        <w:t xml:space="preserve"> fund</w:t>
      </w:r>
      <w:r w:rsidRPr="00B672CA">
        <w:rPr>
          <w:rFonts w:eastAsiaTheme="minorHAnsi"/>
        </w:rPr>
        <w:t xml:space="preserve"> is to offer concessional terms either through lower interest rate extended grace and/or repayment periods, and/or subordination, in order to stimulate co-investment from the market where the market does not or cannot at this time invest alone. The</w:t>
      </w:r>
      <w:r w:rsidR="007F5F4C" w:rsidRPr="00B672CA">
        <w:rPr>
          <w:rFonts w:eastAsiaTheme="minorHAnsi"/>
        </w:rPr>
        <w:t xml:space="preserve"> fund</w:t>
      </w:r>
      <w:r w:rsidRPr="00B672CA">
        <w:rPr>
          <w:rFonts w:eastAsiaTheme="minorHAnsi"/>
        </w:rPr>
        <w:t xml:space="preserve"> may be subordinate to all commercial investors, including Development Finance Institutions when they invest with funds raised in the capital markets (as opposed to donor-backed funds they manage).</w:t>
      </w:r>
    </w:p>
    <w:p w14:paraId="7F111D41" w14:textId="3B9F5607" w:rsidR="00A0369A" w:rsidRPr="00B672CA" w:rsidRDefault="00A0369A" w:rsidP="00B37DAC">
      <w:pPr>
        <w:pStyle w:val="Para"/>
      </w:pPr>
      <w:r w:rsidRPr="00B672CA">
        <w:rPr>
          <w:rFonts w:eastAsiaTheme="minorHAnsi"/>
          <w:u w:val="single"/>
        </w:rPr>
        <w:t>Environmental &amp; Social Additionality</w:t>
      </w:r>
      <w:r w:rsidRPr="00B672CA">
        <w:rPr>
          <w:rFonts w:eastAsiaTheme="minorHAnsi"/>
        </w:rPr>
        <w:t>: Transactions of the</w:t>
      </w:r>
      <w:r w:rsidR="007F5F4C" w:rsidRPr="00B672CA">
        <w:rPr>
          <w:rFonts w:eastAsiaTheme="minorHAnsi"/>
        </w:rPr>
        <w:t xml:space="preserve"> fund</w:t>
      </w:r>
      <w:r w:rsidRPr="00B672CA">
        <w:rPr>
          <w:rFonts w:eastAsiaTheme="minorHAnsi"/>
        </w:rPr>
        <w:t xml:space="preserve"> aim to maximize the project’s environmental impact and in particular the area of forest conserved or protected, taking into account the forest relevance, quantity (hectares protected), and quality, as defined in the ESMS. Further,</w:t>
      </w:r>
      <w:r w:rsidR="007F5F4C" w:rsidRPr="00B672CA">
        <w:rPr>
          <w:rFonts w:eastAsiaTheme="minorHAnsi"/>
        </w:rPr>
        <w:t xml:space="preserve"> fund</w:t>
      </w:r>
      <w:r w:rsidRPr="00B672CA">
        <w:rPr>
          <w:rFonts w:eastAsiaTheme="minorHAnsi"/>
        </w:rPr>
        <w:t xml:space="preserve"> transactions aim to maximize the inclusion of 3rd party suppliers, particularly smallholders, as borrowers or indirect beneficiaries.</w:t>
      </w:r>
    </w:p>
    <w:p w14:paraId="327A0B6C" w14:textId="64B9E3BB" w:rsidR="00A37E0A" w:rsidRPr="00B672CA" w:rsidRDefault="00A37E0A" w:rsidP="00B37DAC">
      <w:pPr>
        <w:pStyle w:val="Para"/>
        <w:rPr>
          <w:rFonts w:eastAsiaTheme="minorHAnsi"/>
        </w:rPr>
      </w:pPr>
      <w:r w:rsidRPr="00B672CA">
        <w:rPr>
          <w:rFonts w:eastAsiaTheme="minorHAnsi"/>
          <w:u w:val="single"/>
        </w:rPr>
        <w:t>Lending risk assessment</w:t>
      </w:r>
      <w:r w:rsidRPr="00B672CA">
        <w:rPr>
          <w:rFonts w:eastAsiaTheme="minorHAnsi"/>
        </w:rPr>
        <w:t xml:space="preserve">: The </w:t>
      </w:r>
      <w:r w:rsidR="00005AAD" w:rsidRPr="00B672CA">
        <w:rPr>
          <w:rFonts w:eastAsiaTheme="minorHAnsi"/>
        </w:rPr>
        <w:t>&amp;Green Fund</w:t>
      </w:r>
      <w:r w:rsidRPr="00B672CA">
        <w:rPr>
          <w:rFonts w:eastAsiaTheme="minorHAnsi"/>
        </w:rPr>
        <w:t xml:space="preserve"> will employ a comprehensive range of risk assessment techniques and tools to control risk exposure, including but not limited to the use of risk rating agencies, initial due diligence assessments, peer group analysis, periodic aggregate credit portfolio reporting and monitoring and active relationship management with the borrowers. The specific methodology for analyzing, screening and monitoring credit risk will be described in the Risk Management Policy. Key elements of this methodology include: </w:t>
      </w:r>
    </w:p>
    <w:p w14:paraId="0F14F319" w14:textId="3173B7E4" w:rsidR="00A37E0A" w:rsidRPr="00B672CA" w:rsidRDefault="00A37E0A" w:rsidP="00F533BE">
      <w:pPr>
        <w:pStyle w:val="Bullets1"/>
      </w:pPr>
      <w:r w:rsidRPr="00B672CA">
        <w:t xml:space="preserve">mandatory on-site due diligence of all </w:t>
      </w:r>
      <w:r w:rsidR="00335F1C" w:rsidRPr="00B672CA">
        <w:t>lending</w:t>
      </w:r>
    </w:p>
    <w:p w14:paraId="31BEB6C9" w14:textId="3DC08336" w:rsidR="00A37E0A" w:rsidRPr="00B672CA" w:rsidRDefault="00A37E0A" w:rsidP="00F533BE">
      <w:pPr>
        <w:pStyle w:val="Bullets1"/>
      </w:pPr>
      <w:r w:rsidRPr="00B672CA">
        <w:t>quantitative and qualitative assessment of the borrower’s risk profile prior to entering new lending and ongoing basis unti</w:t>
      </w:r>
      <w:r w:rsidR="00335F1C" w:rsidRPr="00B672CA">
        <w:t>l maturity/exit of the lending</w:t>
      </w:r>
    </w:p>
    <w:p w14:paraId="7C771967" w14:textId="6982C979" w:rsidR="00A37E0A" w:rsidRPr="00B672CA" w:rsidRDefault="00A37E0A" w:rsidP="00F533BE">
      <w:pPr>
        <w:pStyle w:val="Bullets1"/>
      </w:pPr>
      <w:r w:rsidRPr="00B672CA">
        <w:t>covenant monitoring and early warning systems</w:t>
      </w:r>
      <w:r w:rsidR="00335F1C" w:rsidRPr="00B672CA">
        <w:t xml:space="preserve"> in place</w:t>
      </w:r>
    </w:p>
    <w:p w14:paraId="00168333" w14:textId="6E78249C" w:rsidR="00A37E0A" w:rsidRPr="00B672CA" w:rsidRDefault="00A37E0A" w:rsidP="00F533BE">
      <w:pPr>
        <w:pStyle w:val="Bullets1"/>
      </w:pPr>
      <w:r w:rsidRPr="00B672CA">
        <w:t>intensive</w:t>
      </w:r>
      <w:r w:rsidR="00335F1C" w:rsidRPr="00B672CA">
        <w:t xml:space="preserve"> case and recovery methodology</w:t>
      </w:r>
    </w:p>
    <w:p w14:paraId="3400C9B6" w14:textId="193646F4" w:rsidR="00A37E0A" w:rsidRPr="00B672CA" w:rsidRDefault="00335F1C" w:rsidP="00B37DAC">
      <w:pPr>
        <w:pStyle w:val="Para"/>
        <w:rPr>
          <w:rFonts w:eastAsiaTheme="minorHAnsi"/>
        </w:rPr>
      </w:pPr>
      <w:r w:rsidRPr="00B672CA">
        <w:rPr>
          <w:rFonts w:eastAsiaTheme="minorHAnsi"/>
          <w:u w:val="single"/>
        </w:rPr>
        <w:t>Environmental and social risk assessment</w:t>
      </w:r>
      <w:r w:rsidRPr="00B672CA">
        <w:rPr>
          <w:rFonts w:eastAsiaTheme="minorHAnsi"/>
        </w:rPr>
        <w:t xml:space="preserve">: </w:t>
      </w:r>
      <w:r w:rsidR="00A37E0A" w:rsidRPr="00B672CA">
        <w:rPr>
          <w:rFonts w:eastAsiaTheme="minorHAnsi"/>
        </w:rPr>
        <w:t xml:space="preserve">The International Finance Corporation (IFC) Performance Standards </w:t>
      </w:r>
      <w:r w:rsidR="009E1B30" w:rsidRPr="00B672CA">
        <w:rPr>
          <w:rFonts w:eastAsiaTheme="minorHAnsi"/>
        </w:rPr>
        <w:t xml:space="preserve">will be used </w:t>
      </w:r>
      <w:r w:rsidR="00A37E0A" w:rsidRPr="00B672CA">
        <w:rPr>
          <w:rFonts w:eastAsiaTheme="minorHAnsi"/>
        </w:rPr>
        <w:t xml:space="preserve">as </w:t>
      </w:r>
      <w:r w:rsidR="009E1B30" w:rsidRPr="00B672CA">
        <w:rPr>
          <w:rFonts w:eastAsiaTheme="minorHAnsi"/>
        </w:rPr>
        <w:t xml:space="preserve">the </w:t>
      </w:r>
      <w:r w:rsidR="00A37E0A" w:rsidRPr="00B672CA">
        <w:rPr>
          <w:rFonts w:eastAsiaTheme="minorHAnsi"/>
        </w:rPr>
        <w:t xml:space="preserve">framework for the management of environmental and social risks and impacts associated with the projects </w:t>
      </w:r>
      <w:r w:rsidR="009E1B30" w:rsidRPr="00B672CA">
        <w:rPr>
          <w:rFonts w:eastAsiaTheme="minorHAnsi"/>
        </w:rPr>
        <w:t xml:space="preserve">to be </w:t>
      </w:r>
      <w:r w:rsidR="00A37E0A" w:rsidRPr="00B672CA">
        <w:rPr>
          <w:rFonts w:eastAsiaTheme="minorHAnsi"/>
        </w:rPr>
        <w:t>finance</w:t>
      </w:r>
      <w:r w:rsidR="009E1B30" w:rsidRPr="00B672CA">
        <w:rPr>
          <w:rFonts w:eastAsiaTheme="minorHAnsi"/>
        </w:rPr>
        <w:t>d</w:t>
      </w:r>
      <w:r w:rsidR="00A37E0A" w:rsidRPr="00B672CA">
        <w:rPr>
          <w:rFonts w:eastAsiaTheme="minorHAnsi"/>
        </w:rPr>
        <w:t>.</w:t>
      </w:r>
      <w:r w:rsidR="009E1B30" w:rsidRPr="00B672CA">
        <w:rPr>
          <w:rFonts w:eastAsiaTheme="minorHAnsi"/>
        </w:rPr>
        <w:t xml:space="preserve"> </w:t>
      </w:r>
      <w:r w:rsidR="00A37E0A" w:rsidRPr="00B672CA">
        <w:rPr>
          <w:rFonts w:eastAsiaTheme="minorHAnsi"/>
        </w:rPr>
        <w:t xml:space="preserve">IFC Performance Standards define comprehensive operational requirements related to: </w:t>
      </w:r>
    </w:p>
    <w:p w14:paraId="1D472496" w14:textId="7A6B21E0" w:rsidR="00A37E0A" w:rsidRPr="00B672CA" w:rsidRDefault="00A37E0A" w:rsidP="00F533BE">
      <w:pPr>
        <w:pStyle w:val="Bullets1"/>
      </w:pPr>
      <w:r w:rsidRPr="00B672CA">
        <w:t xml:space="preserve">Assessment and management of environmental and social risks and impacts </w:t>
      </w:r>
    </w:p>
    <w:p w14:paraId="4D533D52" w14:textId="1CAD2702" w:rsidR="00A37E0A" w:rsidRPr="00B672CA" w:rsidRDefault="009E1B30" w:rsidP="00F533BE">
      <w:pPr>
        <w:pStyle w:val="Bullets1"/>
      </w:pPr>
      <w:r w:rsidRPr="00B672CA">
        <w:t>Labor</w:t>
      </w:r>
      <w:r w:rsidR="00A37E0A" w:rsidRPr="00B672CA">
        <w:t xml:space="preserve"> and working conditions </w:t>
      </w:r>
    </w:p>
    <w:p w14:paraId="0D6460CA" w14:textId="4AEBAF07" w:rsidR="00A37E0A" w:rsidRPr="00B672CA" w:rsidRDefault="00A37E0A" w:rsidP="00F533BE">
      <w:pPr>
        <w:pStyle w:val="Bullets1"/>
      </w:pPr>
      <w:r w:rsidRPr="00B672CA">
        <w:t xml:space="preserve">Resource efficiency and pollution prevention </w:t>
      </w:r>
    </w:p>
    <w:p w14:paraId="5EE1CB5F" w14:textId="61A8A300" w:rsidR="00A37E0A" w:rsidRPr="00B672CA" w:rsidRDefault="00A37E0A" w:rsidP="00F533BE">
      <w:pPr>
        <w:pStyle w:val="Bullets1"/>
      </w:pPr>
      <w:r w:rsidRPr="00B672CA">
        <w:t xml:space="preserve">Community health, safety, and security </w:t>
      </w:r>
    </w:p>
    <w:p w14:paraId="1743D8E0" w14:textId="266484E3" w:rsidR="00A37E0A" w:rsidRPr="00B672CA" w:rsidRDefault="00A37E0A" w:rsidP="00F533BE">
      <w:pPr>
        <w:pStyle w:val="Bullets1"/>
      </w:pPr>
      <w:r w:rsidRPr="00B672CA">
        <w:t xml:space="preserve">Land acquisition and involuntary resettlement </w:t>
      </w:r>
    </w:p>
    <w:p w14:paraId="20E3C94B" w14:textId="4100AABB" w:rsidR="00A37E0A" w:rsidRPr="00B672CA" w:rsidRDefault="00A37E0A" w:rsidP="00F533BE">
      <w:pPr>
        <w:pStyle w:val="Bullets1"/>
      </w:pPr>
      <w:r w:rsidRPr="00B672CA">
        <w:t xml:space="preserve">Biodiversity conservation and sustainable management of living natural resources </w:t>
      </w:r>
    </w:p>
    <w:p w14:paraId="5DADF366" w14:textId="67A934A7" w:rsidR="00A37E0A" w:rsidRPr="00B672CA" w:rsidRDefault="00A37E0A" w:rsidP="00F533BE">
      <w:pPr>
        <w:pStyle w:val="Bullets1"/>
      </w:pPr>
      <w:r w:rsidRPr="00B672CA">
        <w:t xml:space="preserve">Indigenous Peoples (including the use of free, prior and informed consent) </w:t>
      </w:r>
    </w:p>
    <w:p w14:paraId="755F6FE3" w14:textId="32A57DCC" w:rsidR="00A37E0A" w:rsidRPr="00B672CA" w:rsidRDefault="00A37E0A" w:rsidP="00F533BE">
      <w:pPr>
        <w:pStyle w:val="Bullets1"/>
      </w:pPr>
      <w:r w:rsidRPr="00B672CA">
        <w:t xml:space="preserve">Cultural heritage </w:t>
      </w:r>
    </w:p>
    <w:p w14:paraId="5FC8DA13" w14:textId="3DFA69D0" w:rsidR="00A37E0A" w:rsidRPr="00B672CA" w:rsidRDefault="00A37E0A" w:rsidP="00B37DAC">
      <w:pPr>
        <w:pStyle w:val="Para"/>
        <w:rPr>
          <w:rFonts w:eastAsiaTheme="minorHAnsi"/>
        </w:rPr>
      </w:pPr>
      <w:r w:rsidRPr="00B672CA">
        <w:rPr>
          <w:rFonts w:eastAsiaTheme="minorHAnsi"/>
        </w:rPr>
        <w:t xml:space="preserve">The </w:t>
      </w:r>
      <w:r w:rsidR="00005AAD" w:rsidRPr="00B672CA">
        <w:rPr>
          <w:rFonts w:eastAsiaTheme="minorHAnsi"/>
        </w:rPr>
        <w:t>&amp;Green Fund</w:t>
      </w:r>
      <w:r w:rsidRPr="00B672CA">
        <w:rPr>
          <w:rFonts w:eastAsiaTheme="minorHAnsi"/>
        </w:rPr>
        <w:t xml:space="preserve"> requires its clients to obtain the free, prior and informed consent of all local communities (not just Indigenous Peoples) with customary rights to land used for both production and conservation components of projects that the</w:t>
      </w:r>
      <w:r w:rsidR="007F5F4C" w:rsidRPr="00B672CA">
        <w:rPr>
          <w:rFonts w:eastAsiaTheme="minorHAnsi"/>
        </w:rPr>
        <w:t xml:space="preserve"> fund</w:t>
      </w:r>
      <w:r w:rsidRPr="00B672CA">
        <w:rPr>
          <w:rFonts w:eastAsiaTheme="minorHAnsi"/>
        </w:rPr>
        <w:t xml:space="preserve"> finances. For the financing of SMEs including smallholders and smallholder cooperatives, other local or international standards (e.g. RSPO principles &amp; criteria in the case of the palm oil sector), including those developed specifically for smallholders, may be used where the performance standards are equivalent but may be more familiar or better adapted to the scale and intensity of management of the client. Where such alternative standards are applied, the</w:t>
      </w:r>
      <w:r w:rsidR="007F5F4C" w:rsidRPr="00B672CA">
        <w:rPr>
          <w:rFonts w:eastAsiaTheme="minorHAnsi"/>
        </w:rPr>
        <w:t xml:space="preserve"> fund</w:t>
      </w:r>
      <w:r w:rsidRPr="00B672CA">
        <w:rPr>
          <w:rFonts w:eastAsiaTheme="minorHAnsi"/>
        </w:rPr>
        <w:t xml:space="preserve">’s Investment Advisor must document the rationale for use of the standard in the publicly-available E&amp;S information provided for each transaction. </w:t>
      </w:r>
    </w:p>
    <w:p w14:paraId="6CC506F4" w14:textId="77777777" w:rsidR="00A37E0A" w:rsidRPr="00B672CA" w:rsidRDefault="00A37E0A" w:rsidP="00B37DAC">
      <w:pPr>
        <w:pStyle w:val="Para"/>
      </w:pPr>
      <w:r w:rsidRPr="00B672CA">
        <w:rPr>
          <w:rFonts w:eastAsiaTheme="minorHAnsi"/>
        </w:rPr>
        <w:t xml:space="preserve">The IFC Performance Standards may be used in conjunction with relevant best practice standards, guidelines and tools (such as: the Voluntary Guidelines on the Responsible Governance of Tenure, the Sustainable Agriculture Standard, RSPO Principles &amp; Criteria, Forest Stewardship Council Principles &amp; Criteria, the High Carbon Stock Approach Toolkit and the Climate, Community &amp; Biodiversity Standards or other emerging best practice standards) where these provide additional detailed guidance or requirements that support compliance with the IFC Performance Standards </w:t>
      </w:r>
    </w:p>
    <w:p w14:paraId="42A9FC93" w14:textId="74383079" w:rsidR="00162673" w:rsidRPr="00B672CA" w:rsidRDefault="005919F3" w:rsidP="00B37DAC">
      <w:pPr>
        <w:pStyle w:val="Para"/>
      </w:pPr>
      <w:r w:rsidRPr="00B672CA">
        <w:rPr>
          <w:u w:val="single"/>
        </w:rPr>
        <w:t>Risk exposure and reflows to GEF</w:t>
      </w:r>
      <w:r w:rsidRPr="00B672CA">
        <w:t xml:space="preserve">: </w:t>
      </w:r>
      <w:r w:rsidR="00162673" w:rsidRPr="00B672CA">
        <w:t xml:space="preserve">All GEF funding is going directly into the </w:t>
      </w:r>
      <w:r w:rsidR="00005AAD" w:rsidRPr="00B672CA">
        <w:t>&amp;Green Fund</w:t>
      </w:r>
      <w:r w:rsidR="00162673" w:rsidRPr="00B672CA">
        <w:t xml:space="preserve">. Hence, the share of GEF funding in any sub-project will be proportionate to its percent contribution to the </w:t>
      </w:r>
      <w:r w:rsidR="00005AAD" w:rsidRPr="00B672CA">
        <w:t>&amp;Green Fund</w:t>
      </w:r>
      <w:r w:rsidR="00162673" w:rsidRPr="00B672CA">
        <w:t xml:space="preserve">. GEF’s investment will be considered as an equity investment with a redemption date (tenor 20 years), and with a surplus fund distribution. GEF’s investment can be considered as an equity payoff wherein it invests a par amount ($2 million) that is repaid on the redemption date as par plus </w:t>
      </w:r>
      <w:r w:rsidRPr="00B672CA">
        <w:t xml:space="preserve">Net Asset Value </w:t>
      </w:r>
      <w:r w:rsidR="00162673" w:rsidRPr="00B672CA">
        <w:t xml:space="preserve">performance. The GEF funding will take the same risk as the other grant and redeemable grant contributors to the </w:t>
      </w:r>
      <w:r w:rsidR="00005AAD" w:rsidRPr="00B672CA">
        <w:t>&amp;Green Fund</w:t>
      </w:r>
      <w:r w:rsidR="00162673" w:rsidRPr="00B672CA">
        <w:t xml:space="preserve">, with the difference being that the GEF expects repayment of its grant at a future date. The repayment might be impaired if the Net Asset Value of the </w:t>
      </w:r>
      <w:r w:rsidR="00005AAD" w:rsidRPr="00B672CA">
        <w:t>&amp;Green Fund</w:t>
      </w:r>
      <w:r w:rsidR="00162673" w:rsidRPr="00B672CA">
        <w:t xml:space="preserve"> has decreased due to costs incurred and not (entirely) recouped from the investments made by the </w:t>
      </w:r>
      <w:r w:rsidR="00005AAD" w:rsidRPr="00B672CA">
        <w:t>&amp;Green Fund</w:t>
      </w:r>
      <w:r w:rsidR="00162673" w:rsidRPr="00B672CA">
        <w:t xml:space="preserve">. It is expected that the GEF investment will be paid back as a one-time payment because the structure of the </w:t>
      </w:r>
      <w:r w:rsidR="00005AAD" w:rsidRPr="00B672CA">
        <w:t>&amp;Green Fund</w:t>
      </w:r>
      <w:r w:rsidR="00162673" w:rsidRPr="00B672CA">
        <w:t xml:space="preserve"> does not allow for annual reflows. (See Annex D for details about reflows).</w:t>
      </w:r>
    </w:p>
    <w:p w14:paraId="08A9294D" w14:textId="234F3B08" w:rsidR="00D25D40" w:rsidRPr="00280BF9" w:rsidRDefault="0097743C" w:rsidP="00D25D40">
      <w:pPr>
        <w:pStyle w:val="Heading3"/>
        <w:rPr>
          <w:lang w:val="en-US"/>
        </w:rPr>
      </w:pPr>
      <w:r w:rsidRPr="00280BF9">
        <w:rPr>
          <w:lang w:val="en-US"/>
        </w:rPr>
        <w:t>1.3 Negotiations with mainstream finance institutions and development finance institutions completed to leverage non-fund capital for public good outcomes in terms of enhanced forest protection and livelihoods of local communities</w:t>
      </w:r>
    </w:p>
    <w:p w14:paraId="11BFB171" w14:textId="4E78C327" w:rsidR="00CA3069" w:rsidRPr="00B672CA" w:rsidRDefault="00CA3069" w:rsidP="00B37DAC">
      <w:pPr>
        <w:pStyle w:val="Para"/>
      </w:pPr>
      <w:r w:rsidRPr="00280BF9">
        <w:t xml:space="preserve">The </w:t>
      </w:r>
      <w:r w:rsidR="00005AAD" w:rsidRPr="00280BF9">
        <w:t>&amp;Green Fund</w:t>
      </w:r>
      <w:r w:rsidRPr="00280BF9">
        <w:t xml:space="preserve"> will not take a majority stake in a loan facility, but instead requires counterparties such as</w:t>
      </w:r>
      <w:r w:rsidRPr="00B672CA">
        <w:t xml:space="preserve"> development finance institutions (ADB, IFC, etc.), commercial banks, and others to provide capital as well. The </w:t>
      </w:r>
      <w:r w:rsidR="00005AAD" w:rsidRPr="00B672CA">
        <w:t>&amp;Green Fund</w:t>
      </w:r>
      <w:r w:rsidRPr="00B672CA">
        <w:t xml:space="preserve"> aims to leverage private capital on the basis of 5:1</w:t>
      </w:r>
      <w:r w:rsidR="0059457F" w:rsidRPr="00B672CA">
        <w:t xml:space="preserve">. </w:t>
      </w:r>
      <w:r w:rsidRPr="00B672CA">
        <w:t xml:space="preserve">For example, the </w:t>
      </w:r>
      <w:r w:rsidR="00005AAD" w:rsidRPr="00B672CA">
        <w:t>&amp;Green Fund</w:t>
      </w:r>
      <w:r w:rsidRPr="00B672CA">
        <w:t xml:space="preserve"> could provide a credit guarantee for a US</w:t>
      </w:r>
      <w:r w:rsidR="00D624E3" w:rsidRPr="00B672CA">
        <w:t>D</w:t>
      </w:r>
      <w:r w:rsidRPr="00B672CA">
        <w:t xml:space="preserve"> denominated loan facility of a private finance institution, or the </w:t>
      </w:r>
      <w:r w:rsidR="00005AAD" w:rsidRPr="00B672CA">
        <w:t>&amp;Green Fund</w:t>
      </w:r>
      <w:r w:rsidRPr="00B672CA">
        <w:t xml:space="preserve"> could provide a 25% junior/ subordinate debt position with 75% coming from private finance institution counterparts. It is likely that the beneficiaries’ own capital will vary depending on the type of project, but around 0-20% </w:t>
      </w:r>
      <w:r w:rsidR="006C75DE" w:rsidRPr="00B672CA">
        <w:t xml:space="preserve">at least </w:t>
      </w:r>
      <w:r w:rsidRPr="00B672CA">
        <w:t>on average is expected to come from the actual land-user, 10-50% from the supply chain company, and the rest from the financial institution partner. This means that every dollar of the GEF’s non-grant instrument will unlock and leverage a larger amount of private finance.</w:t>
      </w:r>
    </w:p>
    <w:p w14:paraId="39C42536" w14:textId="7DACDA07" w:rsidR="00CA3069" w:rsidRPr="00B672CA" w:rsidRDefault="00CA3069" w:rsidP="00B37DAC">
      <w:pPr>
        <w:pStyle w:val="Para"/>
      </w:pPr>
      <w:r w:rsidRPr="00B672CA">
        <w:t xml:space="preserve">The companies being considered as the target group for the </w:t>
      </w:r>
      <w:r w:rsidR="00005AAD" w:rsidRPr="00B672CA">
        <w:t>&amp;Green Fund</w:t>
      </w:r>
      <w:r w:rsidRPr="00B672CA">
        <w:t xml:space="preserve"> range from large companies to medium size companies, which are usually third party suppliers. The funds will be channeled to companies mostly through financial institutions (FIs) allowing the </w:t>
      </w:r>
      <w:r w:rsidR="00005AAD" w:rsidRPr="00B672CA">
        <w:t>&amp;Green Fund</w:t>
      </w:r>
      <w:r w:rsidRPr="00B672CA">
        <w:t xml:space="preserve"> to tap into the capillarity of these partners in reaching individual farmers, in turn driving down transaction cost and risk, and using structures that farmers trust. Three major types of FIs will be considered: (i) DFIs including but not limited to IFC, Netherlands Development Finance Company (FMO), Proparco (French DFI); (ii) national and internationally operating banks like BRI </w:t>
      </w:r>
      <w:r w:rsidR="00B2363E" w:rsidRPr="00B672CA">
        <w:t xml:space="preserve">Agro </w:t>
      </w:r>
      <w:r w:rsidRPr="00B672CA">
        <w:t>(Indonesia), Banco do Brasil (Brazil), Rabobank (Netherlands), BNP Paribas (France), and (iii) impact investors like Althelia, the Tropical Landscapes Finance Facility (TLFF) and the LDN (Land Degradation Neutrality)</w:t>
      </w:r>
      <w:r w:rsidR="007F5F4C" w:rsidRPr="00B672CA">
        <w:t xml:space="preserve"> fund</w:t>
      </w:r>
      <w:r w:rsidRPr="00B672CA">
        <w:t xml:space="preserve">. The </w:t>
      </w:r>
      <w:r w:rsidR="00005AAD" w:rsidRPr="00B672CA">
        <w:t>&amp;Green Fund</w:t>
      </w:r>
      <w:r w:rsidRPr="00B672CA">
        <w:t xml:space="preserve"> will sometimes invest via large companies, e.g. in Indonesia in order to reach plasma scheme small-holders and independent small-holders. In some cases, the </w:t>
      </w:r>
      <w:r w:rsidR="00005AAD" w:rsidRPr="00B672CA">
        <w:t>&amp;Green Fund</w:t>
      </w:r>
      <w:r w:rsidRPr="00B672CA">
        <w:t xml:space="preserve"> will invest in Special Purpose Vehicles created to enable investment in solely small-holder schemes. This will be piloted in Liberia</w:t>
      </w:r>
    </w:p>
    <w:p w14:paraId="5571CC08" w14:textId="77777777" w:rsidR="00D25D40" w:rsidRPr="00B672CA" w:rsidRDefault="00D25D40" w:rsidP="00D25D40">
      <w:pPr>
        <w:pStyle w:val="Heading3"/>
        <w:rPr>
          <w:lang w:val="en-US"/>
        </w:rPr>
      </w:pPr>
      <w:r w:rsidRPr="00B672CA">
        <w:rPr>
          <w:lang w:val="en-US"/>
        </w:rPr>
        <w:t>Output 1.4 Monitoring system is created to verify and track conservation impact of de-risking of commercial finance (fully funded by co-financing)</w:t>
      </w:r>
    </w:p>
    <w:p w14:paraId="3122CE27" w14:textId="328ED9CA" w:rsidR="006C6928" w:rsidRPr="00B672CA" w:rsidRDefault="00D25D40" w:rsidP="00B37DAC">
      <w:pPr>
        <w:pStyle w:val="Para"/>
      </w:pPr>
      <w:r w:rsidRPr="00B672CA">
        <w:t>Solid and credible monitoring of impact performance is critical. Therefore, the monitoring of impacts in terms of restoration and conservation of forests, degraded lands, and improvement in production will be tied into the investment criteria of the PPI agreements. The reporting on impact performance will be fully integrated into financial planning.</w:t>
      </w:r>
      <w:r w:rsidR="00503148" w:rsidRPr="00B672CA">
        <w:t xml:space="preserve"> </w:t>
      </w:r>
    </w:p>
    <w:p w14:paraId="50BA9F04" w14:textId="71E93768" w:rsidR="006C6928" w:rsidRPr="00B672CA" w:rsidRDefault="00005AAD" w:rsidP="00B37DAC">
      <w:pPr>
        <w:pStyle w:val="Para"/>
        <w:rPr>
          <w:rFonts w:eastAsiaTheme="minorHAnsi"/>
        </w:rPr>
      </w:pPr>
      <w:r w:rsidRPr="00B672CA">
        <w:t>&amp;Green Fund</w:t>
      </w:r>
      <w:r w:rsidR="00503148" w:rsidRPr="00B672CA">
        <w:t xml:space="preserve"> has developed an Environmental and Social (E&amp;S) Lending Policy that is to be </w:t>
      </w:r>
      <w:r w:rsidR="006C6928" w:rsidRPr="00B672CA">
        <w:t>implemented</w:t>
      </w:r>
      <w:r w:rsidR="00503148" w:rsidRPr="00B672CA">
        <w:t xml:space="preserve"> through its Environmental &amp; Social Management System (ESMS), and compliance with laws and regulations.</w:t>
      </w:r>
      <w:r w:rsidR="006C6928" w:rsidRPr="00B672CA">
        <w:t xml:space="preserve"> The </w:t>
      </w:r>
      <w:r w:rsidR="006C6928" w:rsidRPr="00B672CA">
        <w:rPr>
          <w:rFonts w:eastAsiaTheme="minorHAnsi"/>
        </w:rPr>
        <w:t>ESMS</w:t>
      </w:r>
      <w:r w:rsidR="0091552C" w:rsidRPr="00B672CA">
        <w:rPr>
          <w:rFonts w:eastAsiaTheme="minorHAnsi"/>
        </w:rPr>
        <w:t xml:space="preserve"> is based on approaches established in ISO 14001: 2004, </w:t>
      </w:r>
      <w:r w:rsidR="0091552C" w:rsidRPr="00B672CA">
        <w:rPr>
          <w:rFonts w:eastAsiaTheme="minorHAnsi"/>
          <w:i/>
          <w:iCs/>
        </w:rPr>
        <w:t>Environmental Management Systems – Specifications with guidance for use,</w:t>
      </w:r>
      <w:r w:rsidR="0091552C" w:rsidRPr="00B672CA">
        <w:rPr>
          <w:rFonts w:eastAsiaTheme="minorHAnsi"/>
        </w:rPr>
        <w:t xml:space="preserve"> a globally recognized standard for environmental management systems. It</w:t>
      </w:r>
      <w:r w:rsidR="006C6928" w:rsidRPr="00B672CA">
        <w:rPr>
          <w:rFonts w:eastAsiaTheme="minorHAnsi"/>
        </w:rPr>
        <w:t xml:space="preserve"> is designed to help the Investment Advisor, Credit Committee and Board of Directors to systematically identify, manage and report on environmental and social aspects and potential impacts of the</w:t>
      </w:r>
      <w:r w:rsidR="007F5F4C" w:rsidRPr="00B672CA">
        <w:rPr>
          <w:rFonts w:eastAsiaTheme="minorHAnsi"/>
        </w:rPr>
        <w:t xml:space="preserve"> fund</w:t>
      </w:r>
      <w:r w:rsidR="006C6928" w:rsidRPr="00B672CA">
        <w:rPr>
          <w:rFonts w:eastAsiaTheme="minorHAnsi"/>
        </w:rPr>
        <w:t xml:space="preserve">’s lending programme and its clients by: </w:t>
      </w:r>
    </w:p>
    <w:p w14:paraId="22732E6D" w14:textId="5312658E" w:rsidR="006C6928" w:rsidRPr="00B672CA" w:rsidRDefault="006C6928" w:rsidP="00F533BE">
      <w:pPr>
        <w:pStyle w:val="Bullets1"/>
      </w:pPr>
      <w:r w:rsidRPr="00B672CA">
        <w:t xml:space="preserve">Ensuring that environmental and social factors are part of the decision making as well as monitoring processes throughout the investment cycle; </w:t>
      </w:r>
    </w:p>
    <w:p w14:paraId="37C8DA7F" w14:textId="3211FE43" w:rsidR="006C6928" w:rsidRPr="00B672CA" w:rsidRDefault="006C6928" w:rsidP="00F533BE">
      <w:pPr>
        <w:pStyle w:val="Bullets1"/>
      </w:pPr>
      <w:r w:rsidRPr="00B672CA">
        <w:t xml:space="preserve">Assisting the client and Investment Advisor to effectively identify and manage environmental and social risks; </w:t>
      </w:r>
    </w:p>
    <w:p w14:paraId="2F731E3E" w14:textId="6ECF902F" w:rsidR="006C6928" w:rsidRPr="00B672CA" w:rsidRDefault="006C6928" w:rsidP="00F533BE">
      <w:pPr>
        <w:pStyle w:val="Bullets1"/>
      </w:pPr>
      <w:r w:rsidRPr="00B672CA">
        <w:t>Providing a framework to engage with stakeholders on E&amp;S standards and sustainable business performance that the</w:t>
      </w:r>
      <w:r w:rsidR="007F5F4C" w:rsidRPr="00B672CA">
        <w:t xml:space="preserve"> fund</w:t>
      </w:r>
      <w:r w:rsidRPr="00B672CA">
        <w:t xml:space="preserve"> intends its clients and co-investors to meet; </w:t>
      </w:r>
    </w:p>
    <w:p w14:paraId="6E5BFDC6" w14:textId="0C2E1B1C" w:rsidR="006C6928" w:rsidRPr="00B672CA" w:rsidRDefault="006C6928" w:rsidP="00F533BE">
      <w:pPr>
        <w:pStyle w:val="Bullets1"/>
      </w:pPr>
      <w:r w:rsidRPr="00B672CA">
        <w:t xml:space="preserve">Providing a framework to monitor performance, identify areas for preventive or corrective action and ensure a consistent approach to E&amp;S across all lending activities and enable continuous improvement; </w:t>
      </w:r>
    </w:p>
    <w:p w14:paraId="5A23792F" w14:textId="15D14C94" w:rsidR="006C6928" w:rsidRPr="00B672CA" w:rsidRDefault="006C6928" w:rsidP="00F533BE">
      <w:pPr>
        <w:pStyle w:val="Bullets1"/>
      </w:pPr>
      <w:r w:rsidRPr="00B672CA">
        <w:t>Helping the</w:t>
      </w:r>
      <w:r w:rsidR="007F5F4C" w:rsidRPr="00B672CA">
        <w:t xml:space="preserve"> fund</w:t>
      </w:r>
      <w:r w:rsidRPr="00B672CA">
        <w:t xml:space="preserve"> to capture the value of E&amp;S factors, record the lessons of its experiences and demonstrate this E&amp;S track record to new Contributors or new clients. </w:t>
      </w:r>
    </w:p>
    <w:p w14:paraId="1D753563" w14:textId="4A2FD9AE" w:rsidR="00D624E3" w:rsidRPr="00B672CA" w:rsidRDefault="00D624E3" w:rsidP="00FE0E9D">
      <w:pPr>
        <w:pStyle w:val="Para"/>
      </w:pPr>
      <w:r w:rsidRPr="00B672CA">
        <w:t xml:space="preserve">The Fund aims to monitor the environmental and social performance of the project through a two-pronged Monitoring Protocol System (MPS). The first is </w:t>
      </w:r>
      <w:r w:rsidRPr="00B672CA">
        <w:rPr>
          <w:rFonts w:eastAsiaTheme="minorHAnsi"/>
          <w:i/>
          <w:iCs/>
        </w:rPr>
        <w:t xml:space="preserve">Satellite-based Monitoring of the Project Area: </w:t>
      </w:r>
      <w:r w:rsidRPr="00B672CA">
        <w:rPr>
          <w:rFonts w:eastAsiaTheme="minorHAnsi"/>
          <w:iCs/>
        </w:rPr>
        <w:t>a</w:t>
      </w:r>
      <w:r w:rsidRPr="00B672CA">
        <w:rPr>
          <w:rFonts w:eastAsiaTheme="minorHAnsi"/>
        </w:rPr>
        <w:t xml:space="preserve">s part of the financial agreement, the client may be required to undertake periodic satellite-based monitoring of the project area (as defined in the Landscape Protection Plan) based on the interpretation of satellite imagery of suitable resolution, and the preparation </w:t>
      </w:r>
      <w:r w:rsidRPr="00280BF9">
        <w:rPr>
          <w:rFonts w:eastAsiaTheme="minorHAnsi"/>
        </w:rPr>
        <w:t>of maps, area and condition statements, and a written report with an analysis of any differences with images taken immediately prior to transaction execution. Satellite image interpretation may require ground-based survey.</w:t>
      </w:r>
      <w:r w:rsidR="00FE0E9D" w:rsidRPr="00280BF9">
        <w:rPr>
          <w:rFonts w:eastAsiaTheme="minorHAnsi"/>
        </w:rPr>
        <w:t xml:space="preserve"> Partnerships with DETER in Brazil and Global Forest Watch led by World Resources Institute will be the considered as the Satellite-based Monitoring system. </w:t>
      </w:r>
      <w:r w:rsidRPr="00280BF9">
        <w:rPr>
          <w:rFonts w:eastAsiaTheme="minorHAnsi"/>
        </w:rPr>
        <w:t xml:space="preserve">The second is through </w:t>
      </w:r>
      <w:r w:rsidRPr="00280BF9">
        <w:rPr>
          <w:rFonts w:eastAsiaTheme="minorHAnsi"/>
          <w:i/>
          <w:iCs/>
        </w:rPr>
        <w:t>Third party verification of E&amp;S performance within the Project Area</w:t>
      </w:r>
      <w:r w:rsidRPr="00280BF9">
        <w:rPr>
          <w:rFonts w:eastAsiaTheme="minorHAnsi"/>
          <w:iCs/>
        </w:rPr>
        <w:t>: o</w:t>
      </w:r>
      <w:r w:rsidRPr="00280BF9">
        <w:rPr>
          <w:rFonts w:eastAsiaTheme="minorHAnsi"/>
        </w:rPr>
        <w:t>n a periodic basis the client will agree to undergo a review of compliance against IFC Performance Standards (or, for</w:t>
      </w:r>
      <w:r w:rsidRPr="00B672CA">
        <w:rPr>
          <w:rFonts w:eastAsiaTheme="minorHAnsi"/>
        </w:rPr>
        <w:t xml:space="preserve"> SME projects, the best practice standard selected by the fund for the project), a review of progress against LPP milestones, and to produce a written report.</w:t>
      </w:r>
    </w:p>
    <w:p w14:paraId="40DA0EC6" w14:textId="075AFB1E" w:rsidR="006C6928" w:rsidRPr="00B672CA" w:rsidRDefault="00B979B2" w:rsidP="00B37DAC">
      <w:pPr>
        <w:pStyle w:val="Para"/>
      </w:pPr>
      <w:r w:rsidRPr="00B672CA">
        <w:t>In summary, the ESMS elaborates on the following:</w:t>
      </w:r>
    </w:p>
    <w:p w14:paraId="3F0580FC" w14:textId="160BE42B" w:rsidR="00B979B2" w:rsidRPr="00B672CA" w:rsidRDefault="00B979B2" w:rsidP="00F533BE">
      <w:pPr>
        <w:pStyle w:val="Bullets1"/>
      </w:pPr>
      <w:r w:rsidRPr="00B672CA">
        <w:t>Environmental &amp; Social Lending Policy Statement</w:t>
      </w:r>
    </w:p>
    <w:p w14:paraId="51320A6E" w14:textId="4A0D2D35" w:rsidR="00B979B2" w:rsidRPr="00B672CA" w:rsidRDefault="00B979B2" w:rsidP="00F533BE">
      <w:pPr>
        <w:pStyle w:val="Bullets2"/>
      </w:pPr>
      <w:r w:rsidRPr="00B672CA">
        <w:t>Scope</w:t>
      </w:r>
    </w:p>
    <w:p w14:paraId="07C6F15C" w14:textId="23BB873B" w:rsidR="00B979B2" w:rsidRPr="00B672CA" w:rsidRDefault="00B979B2" w:rsidP="00F533BE">
      <w:pPr>
        <w:pStyle w:val="Bullets2"/>
      </w:pPr>
      <w:r w:rsidRPr="00B672CA">
        <w:t xml:space="preserve">Implementation of E&amp;S Policy </w:t>
      </w:r>
    </w:p>
    <w:p w14:paraId="76261043" w14:textId="6C3FA275" w:rsidR="00B979B2" w:rsidRPr="00B672CA" w:rsidRDefault="00B979B2" w:rsidP="00F533BE">
      <w:pPr>
        <w:pStyle w:val="Bullets2"/>
      </w:pPr>
      <w:r w:rsidRPr="00B672CA">
        <w:t xml:space="preserve">Use of Best Practice Standards </w:t>
      </w:r>
    </w:p>
    <w:p w14:paraId="2D4AE33C" w14:textId="604857A7" w:rsidR="00B979B2" w:rsidRPr="00B672CA" w:rsidRDefault="00B979B2" w:rsidP="00F533BE">
      <w:pPr>
        <w:pStyle w:val="Bullets2"/>
      </w:pPr>
      <w:r w:rsidRPr="00B672CA">
        <w:t xml:space="preserve">Transparency via Regular Reporting </w:t>
      </w:r>
    </w:p>
    <w:p w14:paraId="2CFC493E" w14:textId="52578E8A" w:rsidR="00B979B2" w:rsidRPr="00B672CA" w:rsidRDefault="00B979B2" w:rsidP="00F533BE">
      <w:pPr>
        <w:pStyle w:val="Bullets2"/>
      </w:pPr>
      <w:r w:rsidRPr="00B672CA">
        <w:t xml:space="preserve">Approval and Review </w:t>
      </w:r>
    </w:p>
    <w:p w14:paraId="65929E32" w14:textId="7DFBA56B" w:rsidR="00B979B2" w:rsidRPr="00B672CA" w:rsidRDefault="00B979B2" w:rsidP="00F533BE">
      <w:pPr>
        <w:pStyle w:val="Bullets1"/>
      </w:pPr>
      <w:r w:rsidRPr="00B672CA">
        <w:t xml:space="preserve">Environmental &amp; Social Management System </w:t>
      </w:r>
    </w:p>
    <w:p w14:paraId="44CBD9BA" w14:textId="2C8E902D" w:rsidR="00B979B2" w:rsidRPr="00B672CA" w:rsidRDefault="00B979B2" w:rsidP="00F533BE">
      <w:pPr>
        <w:pStyle w:val="Bullets2"/>
      </w:pPr>
      <w:r w:rsidRPr="00B672CA">
        <w:t xml:space="preserve">Introduction to the ESMS </w:t>
      </w:r>
    </w:p>
    <w:p w14:paraId="5B6C8E2F" w14:textId="743DC8A4" w:rsidR="00B979B2" w:rsidRPr="00B672CA" w:rsidRDefault="00B979B2" w:rsidP="00F533BE">
      <w:pPr>
        <w:pStyle w:val="Bullets2"/>
      </w:pPr>
      <w:r w:rsidRPr="00B672CA">
        <w:t xml:space="preserve">Jurisdictional Eligibility Criteria </w:t>
      </w:r>
    </w:p>
    <w:p w14:paraId="6E978434" w14:textId="0147218F" w:rsidR="00B979B2" w:rsidRPr="00B672CA" w:rsidRDefault="00B979B2" w:rsidP="00F533BE">
      <w:pPr>
        <w:pStyle w:val="Bullets2"/>
      </w:pPr>
      <w:r w:rsidRPr="00B672CA">
        <w:t xml:space="preserve">Borrower and Co-Investor Compliance </w:t>
      </w:r>
    </w:p>
    <w:p w14:paraId="45B7A4A5" w14:textId="12AA20DD" w:rsidR="00B979B2" w:rsidRPr="00B672CA" w:rsidRDefault="00B979B2" w:rsidP="00F533BE">
      <w:pPr>
        <w:pStyle w:val="Bullets2"/>
      </w:pPr>
      <w:r w:rsidRPr="00B672CA">
        <w:t xml:space="preserve">Investment screening and E&amp;S categorization </w:t>
      </w:r>
    </w:p>
    <w:p w14:paraId="31341B32" w14:textId="07DF0AB3" w:rsidR="00B979B2" w:rsidRPr="00B672CA" w:rsidRDefault="00B979B2" w:rsidP="00F533BE">
      <w:pPr>
        <w:pStyle w:val="Bullets2"/>
      </w:pPr>
      <w:r w:rsidRPr="00B672CA">
        <w:t xml:space="preserve">Due Diligence </w:t>
      </w:r>
    </w:p>
    <w:p w14:paraId="37040B0E" w14:textId="00F66721" w:rsidR="00B979B2" w:rsidRPr="00B672CA" w:rsidRDefault="00B979B2" w:rsidP="00F533BE">
      <w:pPr>
        <w:pStyle w:val="Bullets2"/>
      </w:pPr>
      <w:r w:rsidRPr="00B672CA">
        <w:t xml:space="preserve">Investment decisions </w:t>
      </w:r>
    </w:p>
    <w:p w14:paraId="3128F346" w14:textId="64E359BC" w:rsidR="00B979B2" w:rsidRPr="00B672CA" w:rsidRDefault="00B979B2" w:rsidP="00F533BE">
      <w:pPr>
        <w:pStyle w:val="Bullets2"/>
      </w:pPr>
      <w:r w:rsidRPr="00B672CA">
        <w:t xml:space="preserve">Transaction documents </w:t>
      </w:r>
    </w:p>
    <w:p w14:paraId="0B09A072" w14:textId="71084246" w:rsidR="00B979B2" w:rsidRPr="00B672CA" w:rsidRDefault="00B979B2" w:rsidP="00F533BE">
      <w:pPr>
        <w:pStyle w:val="Bullets2"/>
      </w:pPr>
      <w:r w:rsidRPr="00B672CA">
        <w:t xml:space="preserve">Ownership and Monitoring </w:t>
      </w:r>
    </w:p>
    <w:p w14:paraId="0B5CEAFE" w14:textId="4DFD4DBB" w:rsidR="00B979B2" w:rsidRPr="00B672CA" w:rsidRDefault="00B979B2" w:rsidP="00F533BE">
      <w:pPr>
        <w:pStyle w:val="Bullets1"/>
      </w:pPr>
      <w:r w:rsidRPr="00B672CA">
        <w:t xml:space="preserve">Roles, Responsibilities </w:t>
      </w:r>
      <w:r w:rsidR="00D75655" w:rsidRPr="00B672CA">
        <w:t>and</w:t>
      </w:r>
      <w:r w:rsidRPr="00B672CA">
        <w:t xml:space="preserve"> Organizational Capacity </w:t>
      </w:r>
    </w:p>
    <w:p w14:paraId="06AFC0E2" w14:textId="398D038C" w:rsidR="00B979B2" w:rsidRPr="00B672CA" w:rsidRDefault="00B979B2" w:rsidP="00F533BE">
      <w:pPr>
        <w:pStyle w:val="Bullets1"/>
      </w:pPr>
      <w:r w:rsidRPr="00B672CA">
        <w:t xml:space="preserve">External Communications &amp; Reporting </w:t>
      </w:r>
    </w:p>
    <w:p w14:paraId="1F8750D5" w14:textId="01BA811E" w:rsidR="00B979B2" w:rsidRPr="00B672CA" w:rsidRDefault="00B979B2" w:rsidP="00F533BE">
      <w:pPr>
        <w:pStyle w:val="Bullets1"/>
      </w:pPr>
      <w:r w:rsidRPr="00B672CA">
        <w:t>Monitoring and Evaluation of</w:t>
      </w:r>
      <w:r w:rsidR="007F5F4C" w:rsidRPr="00B672CA">
        <w:t xml:space="preserve"> fund</w:t>
      </w:r>
      <w:r w:rsidRPr="00B672CA">
        <w:t xml:space="preserve"> Impact </w:t>
      </w:r>
    </w:p>
    <w:p w14:paraId="2534ADBC" w14:textId="296FFC8C" w:rsidR="00B979B2" w:rsidRPr="00B672CA" w:rsidRDefault="00B979B2" w:rsidP="00F533BE">
      <w:pPr>
        <w:pStyle w:val="Bullets1"/>
      </w:pPr>
      <w:r w:rsidRPr="00B672CA">
        <w:t xml:space="preserve">Annex on Jurisdictional Eligibility Criteria </w:t>
      </w:r>
    </w:p>
    <w:p w14:paraId="6CB8593E" w14:textId="35BA4683" w:rsidR="00B979B2" w:rsidRPr="00B672CA" w:rsidRDefault="00B979B2" w:rsidP="00F533BE">
      <w:pPr>
        <w:pStyle w:val="Bullets1"/>
      </w:pPr>
      <w:r w:rsidRPr="00B672CA">
        <w:t xml:space="preserve">Annex on Landscape Protection Plan Criteria </w:t>
      </w:r>
    </w:p>
    <w:p w14:paraId="543D2AD5" w14:textId="5ECAE90A" w:rsidR="00D25D40" w:rsidRPr="00B672CA" w:rsidRDefault="00D25D40" w:rsidP="00D25D40">
      <w:pPr>
        <w:pStyle w:val="Heading2"/>
      </w:pPr>
      <w:r w:rsidRPr="00B672CA">
        <w:t>A.1.4. Incremental cost reasoning and expected contributions from the baseline, the GEFTF, LDCF/ SCCF and co-financing</w:t>
      </w:r>
    </w:p>
    <w:p w14:paraId="49A10DD0" w14:textId="08419C81" w:rsidR="00D25D40" w:rsidRPr="00B672CA" w:rsidRDefault="00D25D40" w:rsidP="00B37DAC">
      <w:pPr>
        <w:pStyle w:val="Para"/>
      </w:pPr>
      <w:r w:rsidRPr="00B672CA">
        <w:t xml:space="preserve">In the business-as-usual scenario, private capital is unlikely to flow to agricultural investments that have the potential to protect forests and improve livelihoods (the PPI approach), primarily because the returns are often not proportionate to the level of perceived risks. Replanting and green field projects generate returns over a much longer time horizon, thus necessitating </w:t>
      </w:r>
      <w:r w:rsidR="00B6728E" w:rsidRPr="00B672CA">
        <w:t>the need for longer repayment periods of the principal</w:t>
      </w:r>
      <w:r w:rsidRPr="00B672CA">
        <w:t xml:space="preserve"> and grace period conditions. As yet, there </w:t>
      </w:r>
      <w:r w:rsidR="00B6728E" w:rsidRPr="00B672CA">
        <w:t>are hardly any</w:t>
      </w:r>
      <w:r w:rsidRPr="00B672CA">
        <w:t xml:space="preserve"> program</w:t>
      </w:r>
      <w:r w:rsidR="00B6728E" w:rsidRPr="00B672CA">
        <w:t>s</w:t>
      </w:r>
      <w:r w:rsidRPr="00B672CA">
        <w:t xml:space="preserve"> to transform finance and business models in mainstream agro-commodities markets such that the increased production of soft commodities occurs in tandem with the protection of forests and the inclusion of smallholders and forest communities in the economy over a long period of time. Without the GEF investment, banks and agribusiness companies will continue to consider </w:t>
      </w:r>
      <w:r w:rsidR="00B6728E" w:rsidRPr="00B672CA">
        <w:t>lending to</w:t>
      </w:r>
      <w:r w:rsidRPr="00B672CA">
        <w:t xml:space="preserve"> small holders as a risky business</w:t>
      </w:r>
      <w:r w:rsidR="00CA3069" w:rsidRPr="00B672CA">
        <w:t>. Small and medium-sized firms and smallholders will continue to face commercial constraints in raising capital on affordable terms making it difficult for them to embed forest conservation in their business practice. Larger agribusinesses, while less constrained in terms of raising capital per se, will continue to lack financial incentives to protect and/ or restore forests</w:t>
      </w:r>
      <w:r w:rsidRPr="00B672CA">
        <w:t>.</w:t>
      </w:r>
    </w:p>
    <w:p w14:paraId="429BB5A3" w14:textId="6FEAA4F4" w:rsidR="00D25D40" w:rsidRPr="00B672CA" w:rsidRDefault="00D25D40" w:rsidP="00B37DAC">
      <w:pPr>
        <w:pStyle w:val="Para"/>
      </w:pPr>
      <w:r w:rsidRPr="00B672CA">
        <w:t xml:space="preserve">By providing credit guarantees, first-loss guarantees, and concessional loans in return for forest protection </w:t>
      </w:r>
      <w:r w:rsidR="00B6728E" w:rsidRPr="00B672CA">
        <w:t xml:space="preserve">and/or restoration </w:t>
      </w:r>
      <w:r w:rsidRPr="00B672CA">
        <w:t>commitments, GEF</w:t>
      </w:r>
      <w:r w:rsidR="00B6728E" w:rsidRPr="00B672CA">
        <w:t>’s capital</w:t>
      </w:r>
      <w:r w:rsidRPr="00B672CA">
        <w:t xml:space="preserve"> channeled through the </w:t>
      </w:r>
      <w:r w:rsidR="00005AAD" w:rsidRPr="00B672CA">
        <w:t>&amp;Green Fund</w:t>
      </w:r>
      <w:r w:rsidRPr="00B672CA">
        <w:t xml:space="preserve"> will be able to attract private financing that would otherwise not be forthcoming</w:t>
      </w:r>
      <w:r w:rsidR="00B6728E" w:rsidRPr="00B672CA">
        <w:t xml:space="preserve"> under the favorable ‘protection’ conditions</w:t>
      </w:r>
      <w:r w:rsidRPr="00B672CA">
        <w:t xml:space="preserve">. Through proving the viability of PPI investments, GEF resources will have a significant demonstration </w:t>
      </w:r>
      <w:r w:rsidR="004D559F" w:rsidRPr="00B672CA">
        <w:t>function</w:t>
      </w:r>
      <w:r w:rsidRPr="00B672CA">
        <w:t xml:space="preserve">. In addition to the financial benefit of increased private capital flows, GEF resources, together with co-financing, from the </w:t>
      </w:r>
      <w:r w:rsidR="00005AAD" w:rsidRPr="00B672CA">
        <w:t>&amp;Green Fund</w:t>
      </w:r>
      <w:r w:rsidRPr="00B672CA">
        <w:t xml:space="preserve"> will generate significant global environmental benefits insofar as funding will incentivize the expansion of soft commodity production on already converted agricultural land as well as degraded land in combination with solid forest protection commitments. These global environmental benefits are further described in the following section.</w:t>
      </w:r>
    </w:p>
    <w:p w14:paraId="6A93F638" w14:textId="77777777" w:rsidR="00D25D40" w:rsidRPr="00B672CA" w:rsidRDefault="00D25D40" w:rsidP="00D25D40">
      <w:pPr>
        <w:pStyle w:val="Heading2"/>
      </w:pPr>
      <w:r w:rsidRPr="00B672CA">
        <w:t>A.1.5. Global environmental benefits (GEFTF, NPIF) and/ or adaptation benefits (LDCF/SCCF)</w:t>
      </w:r>
    </w:p>
    <w:p w14:paraId="4959B189" w14:textId="77777777" w:rsidR="00D25D40" w:rsidRPr="00B672CA" w:rsidRDefault="00D25D40" w:rsidP="00B37DAC">
      <w:pPr>
        <w:pStyle w:val="Para"/>
      </w:pPr>
      <w:r w:rsidRPr="00B672CA">
        <w:t>The proposed project will contribute to global environmental benefits primarily through changing business practices in both the land-use and financial sectors. The global benefits expected to be generated from the GEF investment and the co-financing include:</w:t>
      </w:r>
    </w:p>
    <w:p w14:paraId="10FCC3E4" w14:textId="6D8581EC" w:rsidR="00D25D40" w:rsidRPr="00B672CA" w:rsidRDefault="00BF30E2" w:rsidP="00F533BE">
      <w:pPr>
        <w:pStyle w:val="Bullets1"/>
      </w:pPr>
      <w:r w:rsidRPr="00B672CA">
        <w:t>1</w:t>
      </w:r>
      <w:r w:rsidR="00D25D40" w:rsidRPr="00B672CA">
        <w:t>8</w:t>
      </w:r>
      <w:r w:rsidRPr="00B672CA">
        <w:t>6</w:t>
      </w:r>
      <w:r w:rsidR="00D25D40" w:rsidRPr="00B672CA">
        <w:t>,000 ha of lands under sustainable production</w:t>
      </w:r>
    </w:p>
    <w:p w14:paraId="4BF3C39D" w14:textId="6E3D5496" w:rsidR="00D25D40" w:rsidRPr="00B672CA" w:rsidRDefault="00BF30E2" w:rsidP="00F533BE">
      <w:pPr>
        <w:pStyle w:val="Bullets1"/>
      </w:pPr>
      <w:r w:rsidRPr="00B672CA">
        <w:t>258</w:t>
      </w:r>
      <w:r w:rsidR="00D25D40" w:rsidRPr="00B672CA">
        <w:t>,000 ha of forest cover directly protected (including reforested lands)</w:t>
      </w:r>
    </w:p>
    <w:p w14:paraId="61A44A4E" w14:textId="77777777" w:rsidR="00D25D40" w:rsidRPr="00B672CA" w:rsidRDefault="00D25D40" w:rsidP="00F533BE">
      <w:pPr>
        <w:pStyle w:val="Bullets1"/>
      </w:pPr>
      <w:r w:rsidRPr="00B672CA">
        <w:t>180,000 ha of land where deforestation is indirectly avoided</w:t>
      </w:r>
      <w:r w:rsidRPr="00B672CA">
        <w:rPr>
          <w:rStyle w:val="FootnoteReference"/>
          <w:sz w:val="21"/>
          <w:szCs w:val="21"/>
        </w:rPr>
        <w:footnoteReference w:id="34"/>
      </w:r>
    </w:p>
    <w:p w14:paraId="76C37E3B" w14:textId="5C078F09" w:rsidR="00D25D40" w:rsidRPr="00B672CA" w:rsidRDefault="00EC2C4A" w:rsidP="00F533BE">
      <w:pPr>
        <w:pStyle w:val="Bullets1"/>
      </w:pPr>
      <w:r w:rsidRPr="00B672CA">
        <w:fldChar w:fldCharType="begin"/>
      </w:r>
      <w:r w:rsidRPr="00B672CA">
        <w:instrText xml:space="preserve"> =SUM(LEFT) </w:instrText>
      </w:r>
      <w:r w:rsidRPr="00B672CA">
        <w:fldChar w:fldCharType="separate"/>
      </w:r>
      <w:r w:rsidRPr="00B672CA">
        <w:t>45</w:t>
      </w:r>
      <w:r w:rsidR="00B77D72" w:rsidRPr="00B672CA">
        <w:t xml:space="preserve"> mill. tons</w:t>
      </w:r>
      <w:r w:rsidRPr="00B672CA">
        <w:fldChar w:fldCharType="end"/>
      </w:r>
      <w:r w:rsidR="00F533BE" w:rsidRPr="00B672CA">
        <w:t xml:space="preserve"> of CO</w:t>
      </w:r>
      <w:r w:rsidR="00F533BE" w:rsidRPr="00B672CA">
        <w:rPr>
          <w:vertAlign w:val="subscript"/>
        </w:rPr>
        <w:t>2</w:t>
      </w:r>
      <w:r w:rsidRPr="00B672CA">
        <w:t>e</w:t>
      </w:r>
      <w:r w:rsidR="00F533BE" w:rsidRPr="00B672CA">
        <w:rPr>
          <w:vertAlign w:val="subscript"/>
        </w:rPr>
        <w:t xml:space="preserve"> </w:t>
      </w:r>
      <w:r w:rsidR="00D25D40" w:rsidRPr="00B672CA">
        <w:t xml:space="preserve">mitigated </w:t>
      </w:r>
      <w:r w:rsidR="00B77D72" w:rsidRPr="00B672CA">
        <w:t xml:space="preserve">from </w:t>
      </w:r>
      <w:r w:rsidRPr="00B672CA">
        <w:t>intensification of agricultural lands and conservation of HCV/HCS forests</w:t>
      </w:r>
      <w:r w:rsidR="00F533BE" w:rsidRPr="00B672CA">
        <w:rPr>
          <w:rStyle w:val="FootnoteReference"/>
        </w:rPr>
        <w:footnoteReference w:id="35"/>
      </w:r>
    </w:p>
    <w:p w14:paraId="44CE8CDA" w14:textId="77777777" w:rsidR="00D25D40" w:rsidRPr="00B672CA" w:rsidRDefault="00D25D40" w:rsidP="00F533BE">
      <w:pPr>
        <w:pStyle w:val="Bullets1"/>
      </w:pPr>
      <w:r w:rsidRPr="00B672CA">
        <w:t>Innovative application of financial mechanisms and partnerships that may be broadly adopted and scaled-up in integrated landscape management based on their successful demonstration</w:t>
      </w:r>
    </w:p>
    <w:p w14:paraId="42FE64EE" w14:textId="40FA32C3" w:rsidR="00D25D40" w:rsidRPr="00B672CA" w:rsidRDefault="00EF4252" w:rsidP="00F533BE">
      <w:pPr>
        <w:pStyle w:val="Bullets1"/>
      </w:pPr>
      <w:r w:rsidRPr="00B672CA">
        <w:t>E</w:t>
      </w:r>
      <w:r w:rsidR="00D25D40" w:rsidRPr="00B672CA">
        <w:t>ngagement of the private sector and public sector through innovative business models</w:t>
      </w:r>
    </w:p>
    <w:p w14:paraId="3472E138" w14:textId="77777777" w:rsidR="00D25D40" w:rsidRPr="00B672CA" w:rsidRDefault="00D25D40" w:rsidP="00F533BE">
      <w:pPr>
        <w:pStyle w:val="Bullets1"/>
      </w:pPr>
      <w:r w:rsidRPr="00B672CA">
        <w:t>Demonstration of the use of GEF’s non-grant instruments in areas other than climate change</w:t>
      </w:r>
    </w:p>
    <w:p w14:paraId="3636E441" w14:textId="3C36F859" w:rsidR="00D25D40" w:rsidRPr="00B672CA" w:rsidRDefault="00D25D40" w:rsidP="00D25D40">
      <w:pPr>
        <w:pStyle w:val="Heading2"/>
      </w:pPr>
      <w:r w:rsidRPr="00B672CA">
        <w:t xml:space="preserve">A.1.6. </w:t>
      </w:r>
      <w:r w:rsidR="004D559F" w:rsidRPr="00B672CA">
        <w:t>Innovation</w:t>
      </w:r>
      <w:r w:rsidRPr="00B672CA">
        <w:t>, sustainability and potential for scaling up</w:t>
      </w:r>
    </w:p>
    <w:p w14:paraId="72DF7351" w14:textId="0FD42E3F" w:rsidR="00D25D40" w:rsidRPr="00B672CA" w:rsidRDefault="004D559F" w:rsidP="00B37DAC">
      <w:pPr>
        <w:pStyle w:val="Para"/>
      </w:pPr>
      <w:r w:rsidRPr="00B672CA">
        <w:rPr>
          <w:b/>
          <w:bCs/>
        </w:rPr>
        <w:t>Innovati</w:t>
      </w:r>
      <w:r w:rsidR="002736E1" w:rsidRPr="00B672CA">
        <w:rPr>
          <w:b/>
          <w:bCs/>
        </w:rPr>
        <w:t>on</w:t>
      </w:r>
      <w:r w:rsidR="00D25D40" w:rsidRPr="00B672CA">
        <w:t>: The proposed project aims to transform finance and business models in mainstream agro-commodity markets so that they sustain land-use practices wherein the increased production of agro-commodities contributes to the protection of forests and the inclusion of smallholders and forest communities in the economy for a long period of time – referred to as the Production, Protection, and Inclusion approach. The proposed project will establish a de-risking finance facility (</w:t>
      </w:r>
      <w:r w:rsidR="00005AAD" w:rsidRPr="00B672CA">
        <w:t>&amp;Green Fund</w:t>
      </w:r>
      <w:r w:rsidR="00D25D40" w:rsidRPr="00B672CA">
        <w:t xml:space="preserve">), develop a pipeline of sub-projects, and test the PPI approach by investing in selected landscapes in Brazil, Indonesia and Liberia. The </w:t>
      </w:r>
      <w:r w:rsidR="00005AAD" w:rsidRPr="00B672CA">
        <w:t>&amp;Green Fund</w:t>
      </w:r>
      <w:r w:rsidR="00D25D40" w:rsidRPr="00B672CA">
        <w:t xml:space="preserve"> will mobilize private financing for the target countries’ efforts to reduce land degradation, and realize SDG targets. Two other key innovations relate to the change in culture within finance institutions, and demonstration of the feasibility of commercial lending to smallholders. In terms of a cultural change within financial institutions, the prevailing paradigm is that investing or lending according to stringent sustainability criteria is not profitable. By financing business models that focus both on generating revenue through soft commodity production, and at the same time decouple it from forest impact, the mindset of bankers can be changed to realize that lending products can be offered to clients where sustainability criteria are intrinsically embedded in the financial conditions of the loan. Second, it is currently difficult for smallholders to obtain loans, and it is often on short repayment periods and at a high interest rate. By stimulating on-lending to smallholders through the </w:t>
      </w:r>
      <w:r w:rsidR="00005AAD" w:rsidRPr="00B672CA">
        <w:t>&amp;Green Fund</w:t>
      </w:r>
      <w:r w:rsidR="00D25D40" w:rsidRPr="00B672CA">
        <w:t>, banks will get a better sense of the credit worthiness of this currently excluded group.</w:t>
      </w:r>
    </w:p>
    <w:p w14:paraId="2AC6B600" w14:textId="23FD1193" w:rsidR="00606561" w:rsidRPr="00B672CA" w:rsidRDefault="00554260" w:rsidP="00B37DAC">
      <w:pPr>
        <w:pStyle w:val="Para"/>
        <w:rPr>
          <w:rFonts w:eastAsiaTheme="minorHAnsi"/>
        </w:rPr>
      </w:pPr>
      <w:r w:rsidRPr="00B672CA">
        <w:rPr>
          <w:b/>
          <w:bCs/>
        </w:rPr>
        <w:t>Sustainability</w:t>
      </w:r>
      <w:r w:rsidR="00D25D40" w:rsidRPr="00B672CA">
        <w:t>:</w:t>
      </w:r>
      <w:r w:rsidR="00D25D40" w:rsidRPr="00B672CA" w:rsidDel="00070D23">
        <w:t xml:space="preserve"> </w:t>
      </w:r>
      <w:r w:rsidR="00D25D40" w:rsidRPr="00B672CA">
        <w:t xml:space="preserve">A premise of the proposed project is that incentive-based approaches are a key strategy for achieving ecological sustainability in partnership with local communities. Decisions made by resource users at the local level will determine the fate of the environment. The initiatives supported under the proposed project will demonstrate how financial incentives can achieve behavior change on the part of resource users that will contribute to </w:t>
      </w:r>
      <w:r w:rsidR="00E3048F" w:rsidRPr="00B672CA">
        <w:t xml:space="preserve">environmental </w:t>
      </w:r>
      <w:r w:rsidR="00D25D40" w:rsidRPr="00B672CA">
        <w:t>sustainability.</w:t>
      </w:r>
      <w:r w:rsidR="00E3048F" w:rsidRPr="00B672CA">
        <w:t xml:space="preserve"> In terms of </w:t>
      </w:r>
      <w:r w:rsidR="00606561" w:rsidRPr="00B672CA">
        <w:t>financial</w:t>
      </w:r>
      <w:r w:rsidR="00E3048F" w:rsidRPr="00B672CA">
        <w:t xml:space="preserve"> sustainability, </w:t>
      </w:r>
      <w:r w:rsidR="00606561" w:rsidRPr="00B672CA">
        <w:t xml:space="preserve">the </w:t>
      </w:r>
      <w:r w:rsidR="007A0B1B" w:rsidRPr="00B672CA">
        <w:t>fund will primarily finance private companies directly or indirectly involved i</w:t>
      </w:r>
      <w:r w:rsidR="00606561" w:rsidRPr="00B672CA">
        <w:t>n commodity production and a</w:t>
      </w:r>
      <w:r w:rsidR="007A0B1B" w:rsidRPr="00B672CA">
        <w:t>ll borrowers must be financially viable businesses.</w:t>
      </w:r>
      <w:r w:rsidR="00D25D40" w:rsidRPr="00B672CA">
        <w:t xml:space="preserve"> </w:t>
      </w:r>
      <w:r w:rsidR="00606561" w:rsidRPr="00B672CA">
        <w:rPr>
          <w:rFonts w:eastAsiaTheme="minorHAnsi"/>
        </w:rPr>
        <w:t>The</w:t>
      </w:r>
      <w:r w:rsidR="007F5F4C" w:rsidRPr="00B672CA">
        <w:rPr>
          <w:rFonts w:eastAsiaTheme="minorHAnsi"/>
        </w:rPr>
        <w:t xml:space="preserve"> fund</w:t>
      </w:r>
      <w:r w:rsidR="00606561" w:rsidRPr="00B672CA">
        <w:rPr>
          <w:rFonts w:eastAsiaTheme="minorHAnsi"/>
        </w:rPr>
        <w:t xml:space="preserve"> will employ a comprehensive range of risk assessment techniques and tools to control the</w:t>
      </w:r>
      <w:r w:rsidR="007F5F4C" w:rsidRPr="00B672CA">
        <w:rPr>
          <w:rFonts w:eastAsiaTheme="minorHAnsi"/>
        </w:rPr>
        <w:t xml:space="preserve"> fund</w:t>
      </w:r>
      <w:r w:rsidR="00606561" w:rsidRPr="00B672CA">
        <w:rPr>
          <w:rFonts w:eastAsiaTheme="minorHAnsi"/>
        </w:rPr>
        <w:t xml:space="preserve">’s risk exposure, including but not limited to the use of risk rating agencies, initial due diligence assessments, peer group analysis, periodic aggregate credit portfolio reporting and monitoring and active relationship management with the borrowers. The specific methodology for analyzing, screening and monitoring credit risk will be described in the Risk Management Policy of the </w:t>
      </w:r>
      <w:r w:rsidR="00005AAD" w:rsidRPr="00B672CA">
        <w:rPr>
          <w:rFonts w:eastAsiaTheme="minorHAnsi"/>
        </w:rPr>
        <w:t>&amp;Green Fund</w:t>
      </w:r>
      <w:r w:rsidR="00606561" w:rsidRPr="00B672CA">
        <w:rPr>
          <w:rFonts w:eastAsiaTheme="minorHAnsi"/>
        </w:rPr>
        <w:t>. Key elements of this methodology include: mandatory on-site due diligence of all lending; quantitative and qualitative assessment of the borrower’s risk profile prior to entering new lending and ongoing basis until maturity/exit of the lending; covenant monitoring and early warning systems in place; intensive case and recovery methodology.</w:t>
      </w:r>
    </w:p>
    <w:p w14:paraId="2401FD8C" w14:textId="7786E296" w:rsidR="00D25D40" w:rsidRPr="00B672CA" w:rsidRDefault="00D25D40" w:rsidP="00B37DAC">
      <w:pPr>
        <w:pStyle w:val="Para"/>
      </w:pPr>
      <w:r w:rsidRPr="00B672CA">
        <w:rPr>
          <w:b/>
        </w:rPr>
        <w:t>Scaling-up</w:t>
      </w:r>
      <w:r w:rsidRPr="00B672CA">
        <w:t>: Once successfully proven in different geographies</w:t>
      </w:r>
      <w:r w:rsidR="00554260" w:rsidRPr="00B672CA">
        <w:t>, it is likely that local actors (public and private) will be willing</w:t>
      </w:r>
      <w:r w:rsidRPr="00B672CA">
        <w:t xml:space="preserve"> to scale such an approach themselves given the </w:t>
      </w:r>
      <w:r w:rsidR="00E3048F" w:rsidRPr="00B672CA">
        <w:t xml:space="preserve">demonstrated </w:t>
      </w:r>
      <w:r w:rsidRPr="00B672CA">
        <w:t xml:space="preserve">benefits </w:t>
      </w:r>
      <w:r w:rsidR="00E3048F" w:rsidRPr="00B672CA">
        <w:t>under the initial wave of PPI deals financed by the fund</w:t>
      </w:r>
      <w:r w:rsidRPr="00B672CA">
        <w:t xml:space="preserve">. The approach (and accompanying use of de-risking capital) could then be expanded to other landscapes and countries </w:t>
      </w:r>
      <w:r w:rsidR="00D93633" w:rsidRPr="00B672CA">
        <w:t xml:space="preserve">that meet the JEC and are </w:t>
      </w:r>
      <w:r w:rsidRPr="00B672CA">
        <w:t xml:space="preserve">experiencing deforestation trends linked to private sector production expansion. The </w:t>
      </w:r>
      <w:r w:rsidR="00005AAD" w:rsidRPr="00B672CA">
        <w:t>&amp;Green Fund</w:t>
      </w:r>
      <w:r w:rsidRPr="00B672CA">
        <w:t xml:space="preserve"> can expand to other countries and other commercially productive landscapes provided they meet </w:t>
      </w:r>
      <w:r w:rsidR="00E3048F" w:rsidRPr="00B672CA">
        <w:t xml:space="preserve">the jurisdictional eligibility criteria </w:t>
      </w:r>
      <w:r w:rsidRPr="00B672CA">
        <w:t xml:space="preserve">and more investors step in. Other investors will be targeted in order to optimize the potential of the </w:t>
      </w:r>
      <w:r w:rsidR="00005AAD" w:rsidRPr="00B672CA">
        <w:t>&amp;Green Fund</w:t>
      </w:r>
      <w:r w:rsidRPr="00B672CA">
        <w:t xml:space="preserve"> for private sector-driven impact on forest protection. Other international investors and development agencies can be included, complementing the proposed project’s technical, financial and convening capacities over time.</w:t>
      </w:r>
    </w:p>
    <w:p w14:paraId="7B68BA06" w14:textId="77777777" w:rsidR="00D25D40" w:rsidRPr="00B672CA" w:rsidRDefault="00D25D40" w:rsidP="00DE1086">
      <w:pPr>
        <w:pStyle w:val="Heading1"/>
        <w:rPr>
          <w:lang w:val="en-US"/>
        </w:rPr>
      </w:pPr>
      <w:r w:rsidRPr="00B672CA">
        <w:rPr>
          <w:lang w:val="en-US"/>
        </w:rPr>
        <w:t>A.2. If this is a child project under a program, describe how the components contribute to the overall program impact. NA</w:t>
      </w:r>
    </w:p>
    <w:p w14:paraId="7BB57F89" w14:textId="77777777" w:rsidR="00D25D40" w:rsidRPr="00B672CA" w:rsidRDefault="00D25D40" w:rsidP="00DE1086">
      <w:pPr>
        <w:pStyle w:val="Heading1"/>
        <w:rPr>
          <w:lang w:val="en-US"/>
        </w:rPr>
      </w:pPr>
      <w:r w:rsidRPr="00B672CA">
        <w:rPr>
          <w:lang w:val="en-US"/>
        </w:rPr>
        <w:t>A.3. Stakeholders</w:t>
      </w:r>
    </w:p>
    <w:p w14:paraId="7CEA9D08" w14:textId="4F879F38" w:rsidR="00D25D40" w:rsidRPr="00B672CA" w:rsidRDefault="00D25D40" w:rsidP="00D25D40">
      <w:pPr>
        <w:pStyle w:val="Heading3"/>
        <w:rPr>
          <w:rFonts w:eastAsia="MS Mincho"/>
          <w:lang w:val="en-US"/>
        </w:rPr>
      </w:pPr>
      <w:r w:rsidRPr="00B672CA">
        <w:rPr>
          <w:rFonts w:eastAsia="MS Mincho"/>
          <w:lang w:val="en-US"/>
        </w:rPr>
        <w:t xml:space="preserve">Identify key stakeholders and elaborate on how the key stakeholders’ engagement is incorporated in the preparation and implementation of the project. Do they include civil society organizations </w:t>
      </w:r>
      <w:r w:rsidRPr="00B672CA">
        <w:rPr>
          <w:lang w:val="en-US"/>
        </w:rPr>
        <w:t xml:space="preserve">(yes </w:t>
      </w:r>
      <w:r w:rsidR="00F35C0D" w:rsidRPr="00B672CA">
        <w:rPr>
          <w:lang w:val="en-US"/>
        </w:rPr>
        <w:fldChar w:fldCharType="begin">
          <w:ffData>
            <w:name w:val="incl_civil_yes"/>
            <w:enabled/>
            <w:calcOnExit w:val="0"/>
            <w:checkBox>
              <w:sizeAuto/>
              <w:default w:val="0"/>
            </w:checkBox>
          </w:ffData>
        </w:fldChar>
      </w:r>
      <w:bookmarkStart w:id="17" w:name="incl_civil_yes"/>
      <w:r w:rsidR="00F35C0D" w:rsidRPr="00B672CA">
        <w:rPr>
          <w:lang w:val="en-US"/>
        </w:rPr>
        <w:instrText xml:space="preserve"> FORMCHECKBOX </w:instrText>
      </w:r>
      <w:r w:rsidR="0004701D">
        <w:rPr>
          <w:lang w:val="en-US"/>
        </w:rPr>
      </w:r>
      <w:r w:rsidR="0004701D">
        <w:rPr>
          <w:lang w:val="en-US"/>
        </w:rPr>
        <w:fldChar w:fldCharType="separate"/>
      </w:r>
      <w:r w:rsidR="00F35C0D" w:rsidRPr="00B672CA">
        <w:rPr>
          <w:lang w:val="en-US"/>
        </w:rPr>
        <w:fldChar w:fldCharType="end"/>
      </w:r>
      <w:bookmarkEnd w:id="17"/>
      <w:r w:rsidRPr="00B672CA">
        <w:rPr>
          <w:lang w:val="en-US"/>
        </w:rPr>
        <w:t xml:space="preserve"> /no</w:t>
      </w:r>
      <w:r w:rsidR="00F35C0D" w:rsidRPr="00B672CA">
        <w:rPr>
          <w:lang w:val="en-US"/>
        </w:rPr>
        <w:fldChar w:fldCharType="begin">
          <w:ffData>
            <w:name w:val="incl_civil_no"/>
            <w:enabled/>
            <w:calcOnExit w:val="0"/>
            <w:checkBox>
              <w:sizeAuto/>
              <w:default w:val="1"/>
            </w:checkBox>
          </w:ffData>
        </w:fldChar>
      </w:r>
      <w:bookmarkStart w:id="18" w:name="incl_civil_no"/>
      <w:r w:rsidR="00F35C0D" w:rsidRPr="00B672CA">
        <w:rPr>
          <w:lang w:val="en-US"/>
        </w:rPr>
        <w:instrText xml:space="preserve"> FORMCHECKBOX </w:instrText>
      </w:r>
      <w:r w:rsidR="0004701D">
        <w:rPr>
          <w:lang w:val="en-US"/>
        </w:rPr>
      </w:r>
      <w:r w:rsidR="0004701D">
        <w:rPr>
          <w:lang w:val="en-US"/>
        </w:rPr>
        <w:fldChar w:fldCharType="separate"/>
      </w:r>
      <w:r w:rsidR="00F35C0D" w:rsidRPr="00B672CA">
        <w:rPr>
          <w:lang w:val="en-US"/>
        </w:rPr>
        <w:fldChar w:fldCharType="end"/>
      </w:r>
      <w:bookmarkEnd w:id="18"/>
      <w:r w:rsidRPr="00B672CA">
        <w:rPr>
          <w:lang w:val="en-US"/>
        </w:rPr>
        <w:t xml:space="preserve">) </w:t>
      </w:r>
      <w:r w:rsidRPr="00B672CA">
        <w:rPr>
          <w:rFonts w:eastAsia="MS Mincho"/>
          <w:lang w:val="en-US"/>
        </w:rPr>
        <w:t xml:space="preserve">and indigenous peoples </w:t>
      </w:r>
      <w:r w:rsidRPr="00B672CA">
        <w:rPr>
          <w:lang w:val="en-US"/>
        </w:rPr>
        <w:t xml:space="preserve">(yes </w:t>
      </w:r>
      <w:r w:rsidR="00F35C0D" w:rsidRPr="00B672CA">
        <w:rPr>
          <w:lang w:val="en-US"/>
        </w:rPr>
        <w:fldChar w:fldCharType="begin">
          <w:ffData>
            <w:name w:val=""/>
            <w:enabled/>
            <w:calcOnExit w:val="0"/>
            <w:checkBox>
              <w:sizeAuto/>
              <w:default w:val="0"/>
            </w:checkBox>
          </w:ffData>
        </w:fldChar>
      </w:r>
      <w:r w:rsidR="00F35C0D" w:rsidRPr="00B672CA">
        <w:rPr>
          <w:lang w:val="en-US"/>
        </w:rPr>
        <w:instrText xml:space="preserve"> FORMCHECKBOX </w:instrText>
      </w:r>
      <w:r w:rsidR="0004701D">
        <w:rPr>
          <w:lang w:val="en-US"/>
        </w:rPr>
      </w:r>
      <w:r w:rsidR="0004701D">
        <w:rPr>
          <w:lang w:val="en-US"/>
        </w:rPr>
        <w:fldChar w:fldCharType="separate"/>
      </w:r>
      <w:r w:rsidR="00F35C0D" w:rsidRPr="00B672CA">
        <w:rPr>
          <w:lang w:val="en-US"/>
        </w:rPr>
        <w:fldChar w:fldCharType="end"/>
      </w:r>
      <w:r w:rsidRPr="00B672CA">
        <w:rPr>
          <w:lang w:val="en-US"/>
        </w:rPr>
        <w:t xml:space="preserve"> /no</w:t>
      </w:r>
      <w:r w:rsidR="00F35C0D" w:rsidRPr="00B672CA">
        <w:rPr>
          <w:lang w:val="en-US"/>
        </w:rPr>
        <w:fldChar w:fldCharType="begin">
          <w:ffData>
            <w:name w:val=""/>
            <w:enabled/>
            <w:calcOnExit w:val="0"/>
            <w:checkBox>
              <w:sizeAuto/>
              <w:default w:val="1"/>
            </w:checkBox>
          </w:ffData>
        </w:fldChar>
      </w:r>
      <w:r w:rsidR="00F35C0D" w:rsidRPr="00B672CA">
        <w:rPr>
          <w:lang w:val="en-US"/>
        </w:rPr>
        <w:instrText xml:space="preserve"> FORMCHECKBOX </w:instrText>
      </w:r>
      <w:r w:rsidR="0004701D">
        <w:rPr>
          <w:lang w:val="en-US"/>
        </w:rPr>
      </w:r>
      <w:r w:rsidR="0004701D">
        <w:rPr>
          <w:lang w:val="en-US"/>
        </w:rPr>
        <w:fldChar w:fldCharType="separate"/>
      </w:r>
      <w:r w:rsidR="00F35C0D" w:rsidRPr="00B672CA">
        <w:rPr>
          <w:lang w:val="en-US"/>
        </w:rPr>
        <w:fldChar w:fldCharType="end"/>
      </w:r>
      <w:r w:rsidRPr="00B672CA">
        <w:rPr>
          <w:lang w:val="en-US"/>
        </w:rPr>
        <w:t>)</w:t>
      </w:r>
      <w:r w:rsidRPr="00B672CA">
        <w:rPr>
          <w:rFonts w:eastAsia="MS Mincho"/>
          <w:lang w:val="en-US"/>
        </w:rPr>
        <w:t xml:space="preserve">? </w:t>
      </w:r>
      <w:r w:rsidRPr="00B672CA">
        <w:rPr>
          <w:rStyle w:val="FootnoteReference"/>
          <w:rFonts w:eastAsia="MS Mincho"/>
          <w:lang w:val="en-US"/>
        </w:rPr>
        <w:footnoteReference w:id="36"/>
      </w:r>
    </w:p>
    <w:p w14:paraId="4797BC99" w14:textId="6F2EDA88" w:rsidR="00F35C0D" w:rsidRPr="00B672CA" w:rsidRDefault="00F35C0D" w:rsidP="00B37DAC">
      <w:pPr>
        <w:pStyle w:val="Para"/>
      </w:pPr>
      <w:r w:rsidRPr="00B672CA">
        <w:t>The k</w:t>
      </w:r>
      <w:r w:rsidR="00BA7B22" w:rsidRPr="00B672CA">
        <w:t xml:space="preserve">ey stakeholders </w:t>
      </w:r>
      <w:r w:rsidRPr="00B672CA">
        <w:t xml:space="preserve">of the project include international organizations, international NGOs, government bodies, investors contributing to the </w:t>
      </w:r>
      <w:r w:rsidR="00005AAD" w:rsidRPr="00B672CA">
        <w:t>&amp;Green Fund</w:t>
      </w:r>
      <w:r w:rsidRPr="00B672CA">
        <w:t xml:space="preserve">, co-investors contributing at the project level alongside </w:t>
      </w:r>
      <w:r w:rsidR="00005AAD" w:rsidRPr="00B672CA">
        <w:t>&amp;Green Fund</w:t>
      </w:r>
      <w:r w:rsidRPr="00B672CA">
        <w:t>, and beneficiaries or clients who are the investees/ sponsor companies/ smallholders who ben</w:t>
      </w:r>
      <w:r w:rsidR="00B23C77" w:rsidRPr="00B672CA">
        <w:t>efit from the fund’s resources.</w:t>
      </w:r>
    </w:p>
    <w:p w14:paraId="047D5790" w14:textId="1F7E3CB3" w:rsidR="009C05CF" w:rsidRPr="00B672CA" w:rsidRDefault="00BA7B22" w:rsidP="00B37DAC">
      <w:pPr>
        <w:pStyle w:val="Para"/>
      </w:pPr>
      <w:r w:rsidRPr="00B672CA">
        <w:t xml:space="preserve"> </w:t>
      </w:r>
      <w:r w:rsidR="00F35C0D" w:rsidRPr="00B672CA">
        <w:t>During the project preparation phase, IDH has been in active dialog with various stakeholders.</w:t>
      </w:r>
      <w:r w:rsidR="001A6FAC" w:rsidRPr="00B672CA">
        <w:t xml:space="preserve"> Discussions with TNC have solidified their role as </w:t>
      </w:r>
      <w:r w:rsidR="009C05CF" w:rsidRPr="00B672CA">
        <w:t>implementing partner in the Mato Grosso landscape</w:t>
      </w:r>
      <w:r w:rsidR="001A6FAC" w:rsidRPr="00B672CA">
        <w:t xml:space="preserve"> of Brazil</w:t>
      </w:r>
      <w:r w:rsidR="009C05CF" w:rsidRPr="00B672CA">
        <w:t xml:space="preserve">. </w:t>
      </w:r>
      <w:r w:rsidR="001A6FAC" w:rsidRPr="00B672CA">
        <w:t xml:space="preserve">They have also agreed to provide support in </w:t>
      </w:r>
      <w:r w:rsidR="009C05CF" w:rsidRPr="00B672CA">
        <w:t xml:space="preserve">other jurisdictions </w:t>
      </w:r>
      <w:r w:rsidR="001A6FAC" w:rsidRPr="00B672CA">
        <w:t xml:space="preserve">to ensure </w:t>
      </w:r>
      <w:r w:rsidR="009C05CF" w:rsidRPr="00B672CA">
        <w:t xml:space="preserve">the </w:t>
      </w:r>
      <w:r w:rsidR="001A6FAC" w:rsidRPr="00B672CA">
        <w:t xml:space="preserve">Jurisdictional Eligibility Criteria are being met and to </w:t>
      </w:r>
      <w:r w:rsidR="009C05CF" w:rsidRPr="00B672CA">
        <w:t xml:space="preserve">develop </w:t>
      </w:r>
      <w:r w:rsidR="001A6FAC" w:rsidRPr="00B672CA">
        <w:t xml:space="preserve">a pipeline of </w:t>
      </w:r>
      <w:r w:rsidR="009C05CF" w:rsidRPr="00B672CA">
        <w:t xml:space="preserve">potential </w:t>
      </w:r>
      <w:r w:rsidR="001A6FAC" w:rsidRPr="00B672CA">
        <w:t xml:space="preserve">projects </w:t>
      </w:r>
      <w:r w:rsidR="009C05CF" w:rsidRPr="00B672CA">
        <w:t>for the fund</w:t>
      </w:r>
      <w:r w:rsidR="001A6FAC" w:rsidRPr="00B672CA">
        <w:t xml:space="preserve">. Discussions have also been held with WRI’s Global Forest Watch Commodities program to inform them about this project, and they </w:t>
      </w:r>
      <w:r w:rsidR="009C05CF" w:rsidRPr="00B672CA">
        <w:t xml:space="preserve">are willing to </w:t>
      </w:r>
      <w:r w:rsidR="001A6FAC" w:rsidRPr="00B672CA">
        <w:t xml:space="preserve">provide </w:t>
      </w:r>
      <w:r w:rsidR="009C05CF" w:rsidRPr="00B672CA">
        <w:t>support when needed.</w:t>
      </w:r>
      <w:r w:rsidR="001A6FAC" w:rsidRPr="00B672CA">
        <w:t xml:space="preserve"> </w:t>
      </w:r>
    </w:p>
    <w:p w14:paraId="201C984C" w14:textId="30AD7743" w:rsidR="009C05CF" w:rsidRPr="00B672CA" w:rsidRDefault="001A6FAC" w:rsidP="00B37DAC">
      <w:pPr>
        <w:pStyle w:val="Para"/>
      </w:pPr>
      <w:r w:rsidRPr="00B672CA">
        <w:t xml:space="preserve">The Minister of Environment and Forest of Indonesia, as well as </w:t>
      </w:r>
      <w:r w:rsidR="009C05CF" w:rsidRPr="00B672CA">
        <w:t xml:space="preserve">several </w:t>
      </w:r>
      <w:r w:rsidRPr="00B672CA">
        <w:t xml:space="preserve">director-generals from the ministry, </w:t>
      </w:r>
      <w:r w:rsidR="009C05CF" w:rsidRPr="00B672CA">
        <w:t xml:space="preserve">have been consulted </w:t>
      </w:r>
      <w:r w:rsidRPr="00B672CA">
        <w:t xml:space="preserve">on </w:t>
      </w:r>
      <w:r w:rsidR="009C05CF" w:rsidRPr="00B672CA">
        <w:t>the set-up of the fund</w:t>
      </w:r>
      <w:r w:rsidRPr="00B672CA">
        <w:t xml:space="preserve"> and on </w:t>
      </w:r>
      <w:r w:rsidR="009C05CF" w:rsidRPr="00B672CA">
        <w:t>advisory board member</w:t>
      </w:r>
      <w:r w:rsidRPr="00B672CA">
        <w:t xml:space="preserve">ship. IDH has </w:t>
      </w:r>
      <w:r w:rsidR="009C05CF" w:rsidRPr="00B672CA">
        <w:t xml:space="preserve">had several meetings with the Minister </w:t>
      </w:r>
      <w:r w:rsidRPr="00B672CA">
        <w:t xml:space="preserve">of Agriculture of Brazil </w:t>
      </w:r>
      <w:r w:rsidR="009C05CF" w:rsidRPr="00B672CA">
        <w:t>and his team</w:t>
      </w:r>
      <w:r w:rsidRPr="00B672CA">
        <w:t xml:space="preserve">, to keep them apprised of </w:t>
      </w:r>
      <w:r w:rsidR="009C05CF" w:rsidRPr="00B672CA">
        <w:t xml:space="preserve">the fund and </w:t>
      </w:r>
      <w:r w:rsidRPr="00B672CA">
        <w:t xml:space="preserve">get their inputs on </w:t>
      </w:r>
      <w:r w:rsidR="009C05CF" w:rsidRPr="00B672CA">
        <w:t>design</w:t>
      </w:r>
      <w:r w:rsidRPr="00B672CA">
        <w:t xml:space="preserve">. The Minister </w:t>
      </w:r>
      <w:r w:rsidR="009C05CF" w:rsidRPr="00B672CA">
        <w:t>support</w:t>
      </w:r>
      <w:r w:rsidR="00384AB5" w:rsidRPr="00B672CA">
        <w:t>s</w:t>
      </w:r>
      <w:r w:rsidR="009C05CF" w:rsidRPr="00B672CA">
        <w:t xml:space="preserve"> execution</w:t>
      </w:r>
      <w:r w:rsidR="00384AB5" w:rsidRPr="00B672CA">
        <w:t xml:space="preserve"> of the fund. Similarly, the </w:t>
      </w:r>
      <w:r w:rsidR="009C05CF" w:rsidRPr="00B672CA">
        <w:t xml:space="preserve">Minister </w:t>
      </w:r>
      <w:r w:rsidR="00384AB5" w:rsidRPr="00B672CA">
        <w:t xml:space="preserve">of Environment of Brazil has been kept informed on developments related to the </w:t>
      </w:r>
      <w:r w:rsidR="009C05CF" w:rsidRPr="00B672CA">
        <w:t xml:space="preserve">fund, </w:t>
      </w:r>
      <w:r w:rsidR="00384AB5" w:rsidRPr="00B672CA">
        <w:t xml:space="preserve">and the Minister participated in a </w:t>
      </w:r>
      <w:r w:rsidR="009C05CF" w:rsidRPr="00B672CA">
        <w:t xml:space="preserve">‘mini-launch’ of the fund with the Norwegian Minister of Environment during the </w:t>
      </w:r>
      <w:r w:rsidR="00384AB5" w:rsidRPr="00B672CA">
        <w:t xml:space="preserve">annual </w:t>
      </w:r>
      <w:r w:rsidR="009C05CF" w:rsidRPr="00B672CA">
        <w:t>TFA 2020 summit in Brasilia in 2017</w:t>
      </w:r>
      <w:r w:rsidR="00384AB5" w:rsidRPr="00B672CA">
        <w:t xml:space="preserve">. IDH </w:t>
      </w:r>
      <w:r w:rsidR="009C05CF" w:rsidRPr="00B672CA">
        <w:t>presented the fund and wider IDH program to the President of Liberia and her full cabinet</w:t>
      </w:r>
      <w:r w:rsidR="00384AB5" w:rsidRPr="00B672CA">
        <w:t xml:space="preserve"> who </w:t>
      </w:r>
      <w:r w:rsidR="009C05CF" w:rsidRPr="00B672CA">
        <w:t>endorsed it</w:t>
      </w:r>
      <w:r w:rsidR="00384AB5" w:rsidRPr="00B672CA">
        <w:t xml:space="preserve"> and IDH is now working closely with the Minister of Agriculture of Liberia</w:t>
      </w:r>
      <w:r w:rsidR="009C05CF" w:rsidRPr="00B672CA">
        <w:t xml:space="preserve">. </w:t>
      </w:r>
    </w:p>
    <w:p w14:paraId="2163A112" w14:textId="764918A0" w:rsidR="009C05CF" w:rsidRPr="00B672CA" w:rsidRDefault="009C05CF" w:rsidP="00B37DAC">
      <w:pPr>
        <w:pStyle w:val="Para"/>
      </w:pPr>
      <w:r w:rsidRPr="00B672CA">
        <w:t>Aidenvironment Indonesia</w:t>
      </w:r>
      <w:r w:rsidR="00384AB5" w:rsidRPr="00B672CA">
        <w:t xml:space="preserve"> and Fauna and Flora International</w:t>
      </w:r>
      <w:r w:rsidR="00B23C77" w:rsidRPr="00B672CA">
        <w:t>, as</w:t>
      </w:r>
      <w:r w:rsidR="00384AB5" w:rsidRPr="00B672CA">
        <w:t xml:space="preserve"> </w:t>
      </w:r>
      <w:r w:rsidRPr="00B672CA">
        <w:t>contracted im</w:t>
      </w:r>
      <w:r w:rsidR="00384AB5" w:rsidRPr="00B672CA">
        <w:t>plementing partner</w:t>
      </w:r>
      <w:r w:rsidR="00B23C77" w:rsidRPr="00B672CA">
        <w:t xml:space="preserve">s, have been engaged in discussions of </w:t>
      </w:r>
      <w:r w:rsidR="00384AB5" w:rsidRPr="00B672CA">
        <w:t xml:space="preserve">the </w:t>
      </w:r>
      <w:r w:rsidR="00B23C77" w:rsidRPr="00B672CA">
        <w:t xml:space="preserve">work of the </w:t>
      </w:r>
      <w:r w:rsidR="00384AB5" w:rsidRPr="00B672CA">
        <w:t xml:space="preserve">IDH-NICFI partnership </w:t>
      </w:r>
      <w:r w:rsidRPr="00B672CA">
        <w:t>in West</w:t>
      </w:r>
      <w:r w:rsidR="00384AB5" w:rsidRPr="00B672CA">
        <w:t xml:space="preserve"> </w:t>
      </w:r>
      <w:r w:rsidRPr="00B672CA">
        <w:t>Kalimantan.</w:t>
      </w:r>
      <w:r w:rsidR="00B23C77" w:rsidRPr="00B672CA">
        <w:t xml:space="preserve"> Similarly, </w:t>
      </w:r>
      <w:r w:rsidR="00993FA2" w:rsidRPr="00B672CA">
        <w:t xml:space="preserve">IDH has been in dialog with </w:t>
      </w:r>
      <w:r w:rsidRPr="00B672CA">
        <w:t xml:space="preserve">The Forest Trust (TFT) </w:t>
      </w:r>
      <w:r w:rsidR="00993FA2" w:rsidRPr="00B672CA">
        <w:t xml:space="preserve">on the work of the IDH-NICFI partnership in </w:t>
      </w:r>
      <w:r w:rsidRPr="00B672CA">
        <w:t>Liberia and Aceh</w:t>
      </w:r>
      <w:r w:rsidR="00993FA2" w:rsidRPr="00B672CA">
        <w:t>.</w:t>
      </w:r>
      <w:r w:rsidR="00B23C77" w:rsidRPr="00B672CA">
        <w:t xml:space="preserve"> </w:t>
      </w:r>
      <w:r w:rsidRPr="00DB279B">
        <w:rPr>
          <w:lang w:val="en-GB"/>
        </w:rPr>
        <w:t xml:space="preserve">Instituto Centro de Vida </w:t>
      </w:r>
      <w:r w:rsidR="00993FA2" w:rsidRPr="00DB279B">
        <w:rPr>
          <w:lang w:val="en-GB"/>
        </w:rPr>
        <w:t xml:space="preserve">and </w:t>
      </w:r>
      <w:r w:rsidR="00993FA2" w:rsidRPr="00B672CA">
        <w:t>Aliança da Terra are</w:t>
      </w:r>
      <w:r w:rsidRPr="00B672CA">
        <w:t xml:space="preserve"> contracted implementing partner</w:t>
      </w:r>
      <w:r w:rsidR="00993FA2" w:rsidRPr="00B672CA">
        <w:t>s</w:t>
      </w:r>
      <w:r w:rsidRPr="00B672CA">
        <w:t xml:space="preserve"> in Mato Grosso</w:t>
      </w:r>
      <w:r w:rsidR="00993FA2" w:rsidRPr="00B672CA">
        <w:t xml:space="preserve"> and have </w:t>
      </w:r>
      <w:r w:rsidRPr="00B672CA">
        <w:t xml:space="preserve">helped shape the </w:t>
      </w:r>
      <w:r w:rsidR="00993FA2" w:rsidRPr="00B672CA">
        <w:t xml:space="preserve">overall production-protection-inclusion </w:t>
      </w:r>
      <w:r w:rsidRPr="00B672CA">
        <w:t xml:space="preserve">strategy in the </w:t>
      </w:r>
      <w:r w:rsidR="00993FA2" w:rsidRPr="00B672CA">
        <w:t>s</w:t>
      </w:r>
      <w:r w:rsidRPr="00B672CA">
        <w:t xml:space="preserve">tate, </w:t>
      </w:r>
      <w:r w:rsidR="00993FA2" w:rsidRPr="00B672CA">
        <w:t xml:space="preserve">though have not specifically been involved in the </w:t>
      </w:r>
      <w:r w:rsidRPr="00B672CA">
        <w:t>design of the fund</w:t>
      </w:r>
      <w:r w:rsidR="00993FA2" w:rsidRPr="00B672CA">
        <w:t>.</w:t>
      </w:r>
      <w:r w:rsidR="00B23C77" w:rsidRPr="00B672CA">
        <w:t xml:space="preserve"> </w:t>
      </w:r>
      <w:r w:rsidRPr="00B672CA">
        <w:t xml:space="preserve">Conservation International </w:t>
      </w:r>
      <w:r w:rsidR="00993FA2" w:rsidRPr="00B672CA">
        <w:t xml:space="preserve">and FFI are implementing </w:t>
      </w:r>
      <w:r w:rsidRPr="00B672CA">
        <w:t>partner</w:t>
      </w:r>
      <w:r w:rsidR="00993FA2" w:rsidRPr="00B672CA">
        <w:t>s for the work of the IDH-NICFI partnership</w:t>
      </w:r>
      <w:r w:rsidRPr="00B672CA">
        <w:t xml:space="preserve"> in Liberia</w:t>
      </w:r>
      <w:r w:rsidR="00993FA2" w:rsidRPr="00B672CA">
        <w:t>, with FFI being directly involved in the development of the production-protection-inclusion strategy in the e</w:t>
      </w:r>
      <w:r w:rsidRPr="00B672CA">
        <w:t>astern landscape.</w:t>
      </w:r>
    </w:p>
    <w:p w14:paraId="744194D5" w14:textId="6495D307" w:rsidR="0057417C" w:rsidRPr="00B672CA" w:rsidRDefault="00B23C77" w:rsidP="00B37DAC">
      <w:pPr>
        <w:pStyle w:val="Para"/>
      </w:pPr>
      <w:r w:rsidRPr="00B672CA">
        <w:t xml:space="preserve">IDH has established a </w:t>
      </w:r>
      <w:r w:rsidR="00993FA2" w:rsidRPr="00B672CA">
        <w:t xml:space="preserve">dialog with </w:t>
      </w:r>
      <w:r w:rsidR="009C05CF" w:rsidRPr="00B672CA">
        <w:t xml:space="preserve">the leadership of the </w:t>
      </w:r>
      <w:r w:rsidR="00993FA2" w:rsidRPr="00B672CA">
        <w:t xml:space="preserve">World Bank’s </w:t>
      </w:r>
      <w:r w:rsidR="009C05CF" w:rsidRPr="00B672CA">
        <w:t>BioCarbon Fund and Forest Investment Program</w:t>
      </w:r>
      <w:r w:rsidR="00993FA2" w:rsidRPr="00B672CA">
        <w:t xml:space="preserve"> to keep them apprised of the </w:t>
      </w:r>
      <w:r w:rsidR="00005AAD" w:rsidRPr="00B672CA">
        <w:t>&amp;Green Fund</w:t>
      </w:r>
      <w:r w:rsidR="00993FA2" w:rsidRPr="00B672CA">
        <w:t xml:space="preserve"> and to seek synergies</w:t>
      </w:r>
      <w:r w:rsidRPr="00B672CA">
        <w:t xml:space="preserve">. </w:t>
      </w:r>
      <w:r w:rsidR="00EE484D" w:rsidRPr="00B672CA">
        <w:t xml:space="preserve">IDH has held discussions with </w:t>
      </w:r>
      <w:r w:rsidR="009C05CF" w:rsidRPr="00B672CA">
        <w:t>IFC</w:t>
      </w:r>
      <w:r w:rsidR="00EE484D" w:rsidRPr="00B672CA">
        <w:t xml:space="preserve">, Proparco (French DFI), BRI Agro (Indonesia), Banco do Brasil (Brazil), and Rabobank (Dutch) </w:t>
      </w:r>
      <w:r w:rsidR="009C05CF" w:rsidRPr="00B672CA">
        <w:t xml:space="preserve">on potential </w:t>
      </w:r>
      <w:r w:rsidRPr="00B672CA">
        <w:t xml:space="preserve">investable projects for the </w:t>
      </w:r>
      <w:r w:rsidR="00005AAD" w:rsidRPr="00B672CA">
        <w:t>&amp;Green Fund</w:t>
      </w:r>
      <w:r w:rsidR="00EE484D" w:rsidRPr="00B672CA">
        <w:t>.</w:t>
      </w:r>
      <w:r w:rsidRPr="00B672CA">
        <w:t xml:space="preserve"> </w:t>
      </w:r>
      <w:r w:rsidR="00EE484D" w:rsidRPr="00B672CA">
        <w:t xml:space="preserve">The </w:t>
      </w:r>
      <w:r w:rsidR="009C05CF" w:rsidRPr="00B672CA">
        <w:t xml:space="preserve">Netherlands Development Finance Company are a long standing partner of IDH </w:t>
      </w:r>
      <w:r w:rsidR="00EE484D" w:rsidRPr="00B672CA">
        <w:t xml:space="preserve">and </w:t>
      </w:r>
      <w:r w:rsidR="009C05CF" w:rsidRPr="00B672CA">
        <w:t xml:space="preserve">have been </w:t>
      </w:r>
      <w:r w:rsidR="00EE484D" w:rsidRPr="00B672CA">
        <w:t>consulted</w:t>
      </w:r>
      <w:r w:rsidR="009C05CF" w:rsidRPr="00B672CA">
        <w:t xml:space="preserve"> on some of the design elements</w:t>
      </w:r>
      <w:r w:rsidR="00EE484D" w:rsidRPr="00B672CA">
        <w:t xml:space="preserve"> of the fund.</w:t>
      </w:r>
      <w:r w:rsidRPr="00B672CA">
        <w:t xml:space="preserve"> IDH has signed a memorandum of understanding with the </w:t>
      </w:r>
      <w:r w:rsidR="009C05CF" w:rsidRPr="00B672CA">
        <w:t xml:space="preserve">Tropical Landscapes Finance Facility to align efforts. </w:t>
      </w:r>
      <w:r w:rsidRPr="00B672CA">
        <w:t xml:space="preserve">Meetings have also been held with </w:t>
      </w:r>
      <w:r w:rsidR="009C05CF" w:rsidRPr="00B672CA">
        <w:t>the presidential team in Indonesia to agree on alignment and synergies</w:t>
      </w:r>
      <w:r w:rsidRPr="00B672CA">
        <w:t xml:space="preserve">. </w:t>
      </w:r>
    </w:p>
    <w:p w14:paraId="145A4629" w14:textId="373C1240" w:rsidR="009C05CF" w:rsidRPr="00B672CA" w:rsidRDefault="0057417C" w:rsidP="00B37DAC">
      <w:pPr>
        <w:pStyle w:val="Para"/>
      </w:pPr>
      <w:r w:rsidRPr="00B672CA">
        <w:t xml:space="preserve">Finally, </w:t>
      </w:r>
      <w:r w:rsidR="009D543E" w:rsidRPr="00B672CA">
        <w:t>UN Environment</w:t>
      </w:r>
      <w:r w:rsidRPr="00B672CA">
        <w:t xml:space="preserve"> has shared information about this project with </w:t>
      </w:r>
      <w:r w:rsidR="00A20D55" w:rsidRPr="00B672CA">
        <w:t>its regional offices in Latin America, Africa and Asia, as well as with the GEF</w:t>
      </w:r>
      <w:r w:rsidR="00B37DAC" w:rsidRPr="00B672CA">
        <w:t xml:space="preserve"> operational</w:t>
      </w:r>
      <w:r w:rsidR="00A20D55" w:rsidRPr="00B672CA">
        <w:t xml:space="preserve"> focal points </w:t>
      </w:r>
      <w:r w:rsidR="00B37DAC" w:rsidRPr="00B672CA">
        <w:t xml:space="preserve">of </w:t>
      </w:r>
      <w:r w:rsidR="00A20D55" w:rsidRPr="00B672CA">
        <w:t xml:space="preserve">Brazil, Liberia, and Indonesia. </w:t>
      </w:r>
      <w:r w:rsidR="00B23C77" w:rsidRPr="00B672CA">
        <w:t>The table below lists the stakeholders and the role they are expected to play in project implementation.</w:t>
      </w:r>
    </w:p>
    <w:p w14:paraId="12EE4EC7" w14:textId="7174EBEF" w:rsidR="00D25D40" w:rsidRPr="00B672CA" w:rsidRDefault="009C2949" w:rsidP="00D46460">
      <w:pPr>
        <w:pStyle w:val="Tableheading"/>
      </w:pPr>
      <w:r w:rsidRPr="00B672CA">
        <w:t>Table 2: Stakeholder participation in implementation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3"/>
        <w:gridCol w:w="4376"/>
        <w:gridCol w:w="3960"/>
      </w:tblGrid>
      <w:tr w:rsidR="00BA7B22" w:rsidRPr="00B672CA" w14:paraId="285250E9" w14:textId="77777777" w:rsidTr="00E2209F">
        <w:trPr>
          <w:tblHeader/>
        </w:trPr>
        <w:tc>
          <w:tcPr>
            <w:tcW w:w="2493" w:type="dxa"/>
            <w:shd w:val="clear" w:color="auto" w:fill="BFBFBF"/>
          </w:tcPr>
          <w:p w14:paraId="66C4BD63" w14:textId="77777777" w:rsidR="00BA7B22" w:rsidRPr="00B672CA" w:rsidRDefault="00BA7B22" w:rsidP="00D46460">
            <w:pPr>
              <w:pStyle w:val="Tableheading"/>
            </w:pPr>
            <w:r w:rsidRPr="00B672CA">
              <w:t>Stakeholder</w:t>
            </w:r>
          </w:p>
        </w:tc>
        <w:tc>
          <w:tcPr>
            <w:tcW w:w="4376" w:type="dxa"/>
            <w:shd w:val="clear" w:color="auto" w:fill="BFBFBF"/>
          </w:tcPr>
          <w:p w14:paraId="24A26E89" w14:textId="77777777" w:rsidR="00BA7B22" w:rsidRPr="00B672CA" w:rsidRDefault="00BA7B22" w:rsidP="00D46460">
            <w:pPr>
              <w:pStyle w:val="Tableheading"/>
            </w:pPr>
            <w:r w:rsidRPr="00B672CA">
              <w:t xml:space="preserve">Current Mandate </w:t>
            </w:r>
          </w:p>
        </w:tc>
        <w:tc>
          <w:tcPr>
            <w:tcW w:w="3960" w:type="dxa"/>
            <w:shd w:val="clear" w:color="auto" w:fill="BFBFBF"/>
          </w:tcPr>
          <w:p w14:paraId="06774302" w14:textId="77777777" w:rsidR="00BA7B22" w:rsidRPr="00B672CA" w:rsidRDefault="00BA7B22" w:rsidP="00D46460">
            <w:pPr>
              <w:pStyle w:val="Tableheading"/>
            </w:pPr>
            <w:r w:rsidRPr="00B672CA">
              <w:t>Expected Role in Implementation</w:t>
            </w:r>
          </w:p>
        </w:tc>
      </w:tr>
      <w:tr w:rsidR="00E2209F" w:rsidRPr="00B672CA" w14:paraId="605FA106" w14:textId="77777777" w:rsidTr="00DE1086">
        <w:tc>
          <w:tcPr>
            <w:tcW w:w="10829" w:type="dxa"/>
            <w:gridSpan w:val="3"/>
            <w:shd w:val="clear" w:color="auto" w:fill="DEEAF6" w:themeFill="accent1" w:themeFillTint="33"/>
          </w:tcPr>
          <w:p w14:paraId="2EBB3EA9" w14:textId="7B815064" w:rsidR="00E2209F" w:rsidRPr="00B672CA" w:rsidRDefault="00E2209F" w:rsidP="00371C61">
            <w:pPr>
              <w:pStyle w:val="Tabletext"/>
            </w:pPr>
            <w:r w:rsidRPr="00B672CA">
              <w:t>International organizations, government bodies, NGOs:</w:t>
            </w:r>
          </w:p>
        </w:tc>
      </w:tr>
      <w:tr w:rsidR="00B37DAC" w:rsidRPr="00B672CA" w14:paraId="6CAAE46F" w14:textId="77777777" w:rsidTr="00E2209F">
        <w:tc>
          <w:tcPr>
            <w:tcW w:w="2493" w:type="dxa"/>
            <w:shd w:val="clear" w:color="auto" w:fill="auto"/>
          </w:tcPr>
          <w:p w14:paraId="14028623" w14:textId="06EBA9C8" w:rsidR="00B37DAC" w:rsidRPr="00B672CA" w:rsidRDefault="00005AAD" w:rsidP="00371C61">
            <w:pPr>
              <w:pStyle w:val="Tabletext"/>
            </w:pPr>
            <w:r w:rsidRPr="00B672CA">
              <w:t>&amp;Green Fund</w:t>
            </w:r>
          </w:p>
        </w:tc>
        <w:tc>
          <w:tcPr>
            <w:tcW w:w="4376" w:type="dxa"/>
            <w:shd w:val="clear" w:color="auto" w:fill="auto"/>
          </w:tcPr>
          <w:p w14:paraId="3FE09AA5" w14:textId="7C8F99A8" w:rsidR="00B37DAC" w:rsidRPr="00B672CA" w:rsidRDefault="00DF71D6" w:rsidP="00DF71D6">
            <w:pPr>
              <w:pStyle w:val="Tabletext"/>
            </w:pPr>
            <w:r w:rsidRPr="00B672CA">
              <w:t>This Fund was originally launched in January 2017 at the World Economic Forum by the Norwegian Prime Minister, Paul Polman on behalf of the Consumer Goods Forum,</w:t>
            </w:r>
            <w:r w:rsidR="00071954">
              <w:t xml:space="preserve"> Erik Solheim (UN Environment)</w:t>
            </w:r>
            <w:r w:rsidRPr="00B672CA">
              <w:t xml:space="preserve"> and Naoko Ishii, the CEO of the Global Environment Facility. Established as a Stichting (foundation) that is a Dutch legal entity with limited liability, its aim is to trigger private sector investment into agricultural productivity, whilst protecting millions of hectares of tropical forests, peatlands and biodiversity. The fund will invest up to $400 million by 2020, and will provide subordinated credit under flexible terms. By crowding-in co-investors, the fund maximizes the amount of private capital available. The Investment Advisor to the fund is Sail Ventures.</w:t>
            </w:r>
          </w:p>
        </w:tc>
        <w:tc>
          <w:tcPr>
            <w:tcW w:w="3960" w:type="dxa"/>
            <w:shd w:val="clear" w:color="auto" w:fill="auto"/>
          </w:tcPr>
          <w:p w14:paraId="2699930B" w14:textId="4289E2EA" w:rsidR="00B37DAC" w:rsidRPr="00B672CA" w:rsidRDefault="00371C61" w:rsidP="00371C61">
            <w:pPr>
              <w:pStyle w:val="Tabletext"/>
            </w:pPr>
            <w:r w:rsidRPr="00B672CA">
              <w:t>Executing Agency of the Project</w:t>
            </w:r>
          </w:p>
        </w:tc>
      </w:tr>
      <w:tr w:rsidR="00B37DAC" w:rsidRPr="00B672CA" w14:paraId="5A97D074" w14:textId="77777777" w:rsidTr="00E2209F">
        <w:tc>
          <w:tcPr>
            <w:tcW w:w="2493" w:type="dxa"/>
            <w:shd w:val="clear" w:color="auto" w:fill="auto"/>
          </w:tcPr>
          <w:p w14:paraId="3C41BCC4" w14:textId="5D20B6C0" w:rsidR="00B37DAC" w:rsidRPr="00B672CA" w:rsidRDefault="00B37DAC" w:rsidP="00371C61">
            <w:pPr>
              <w:pStyle w:val="Tabletext"/>
            </w:pPr>
            <w:r w:rsidRPr="00B672CA">
              <w:t>IDH</w:t>
            </w:r>
          </w:p>
        </w:tc>
        <w:tc>
          <w:tcPr>
            <w:tcW w:w="4376" w:type="dxa"/>
            <w:shd w:val="clear" w:color="auto" w:fill="auto"/>
          </w:tcPr>
          <w:p w14:paraId="40F3924F" w14:textId="1CB689F0" w:rsidR="00B37DAC" w:rsidRPr="00B672CA" w:rsidRDefault="00DF71D6" w:rsidP="00DF71D6">
            <w:pPr>
              <w:pStyle w:val="Tabletext"/>
            </w:pPr>
            <w:r w:rsidRPr="00B672CA">
              <w:t>IDH convenes companies, CSOs, governments and others in public-private partnerships. Together they drive the joint design, co-funding and prototyping of new economically viable approaches to realize green &amp; inclusive growth at scale in commodity sectors and sourcing areas.</w:t>
            </w:r>
          </w:p>
        </w:tc>
        <w:tc>
          <w:tcPr>
            <w:tcW w:w="3960" w:type="dxa"/>
            <w:shd w:val="clear" w:color="auto" w:fill="auto"/>
          </w:tcPr>
          <w:p w14:paraId="5B40A8C7" w14:textId="48EC8CBD" w:rsidR="00B37DAC" w:rsidRPr="00B672CA" w:rsidRDefault="00371C61" w:rsidP="00371C61">
            <w:pPr>
              <w:pStyle w:val="Tabletext"/>
            </w:pPr>
            <w:r w:rsidRPr="00B672CA">
              <w:t>Executing Agency of the Project</w:t>
            </w:r>
          </w:p>
        </w:tc>
      </w:tr>
      <w:tr w:rsidR="00BA7B22" w:rsidRPr="00B672CA" w14:paraId="2A665805" w14:textId="77777777" w:rsidTr="00E2209F">
        <w:tc>
          <w:tcPr>
            <w:tcW w:w="2493" w:type="dxa"/>
            <w:shd w:val="clear" w:color="auto" w:fill="auto"/>
          </w:tcPr>
          <w:p w14:paraId="4FB155E5" w14:textId="2C3DDC83" w:rsidR="00BA7B22" w:rsidRPr="00B672CA" w:rsidRDefault="00554260" w:rsidP="00371C61">
            <w:pPr>
              <w:pStyle w:val="Tabletext"/>
            </w:pPr>
            <w:r w:rsidRPr="00B672CA">
              <w:t>UN Environment</w:t>
            </w:r>
          </w:p>
        </w:tc>
        <w:tc>
          <w:tcPr>
            <w:tcW w:w="4376" w:type="dxa"/>
            <w:shd w:val="clear" w:color="auto" w:fill="auto"/>
          </w:tcPr>
          <w:p w14:paraId="61390F8D" w14:textId="37478CAA" w:rsidR="00BA7B22" w:rsidRPr="00B672CA" w:rsidRDefault="00BA7B22" w:rsidP="00371C61">
            <w:pPr>
              <w:pStyle w:val="Tabletext"/>
            </w:pPr>
            <w:r w:rsidRPr="00B672CA">
              <w:t>UN</w:t>
            </w:r>
            <w:r w:rsidR="00554260" w:rsidRPr="00B672CA">
              <w:t xml:space="preserve"> </w:t>
            </w:r>
            <w:r w:rsidRPr="00B672CA">
              <w:t>E</w:t>
            </w:r>
            <w:r w:rsidR="00554260" w:rsidRPr="00B672CA">
              <w:t>nvironment</w:t>
            </w:r>
            <w:r w:rsidRPr="00B672CA">
              <w:t xml:space="preserve"> is co-executing the Transactions child project of the Commodities IAP (Integrated Approach Pilots</w:t>
            </w:r>
            <w:r w:rsidRPr="00B672CA">
              <w:rPr>
                <w:rStyle w:val="FootnoteReference"/>
                <w:lang w:val="en-US"/>
              </w:rPr>
              <w:footnoteReference w:id="37"/>
            </w:r>
            <w:r w:rsidRPr="00B672CA">
              <w:t>), and, as one of the key agencies for the UN-REDD programme, UN Environment leads and delivers on a variety of activities at both the national and global level</w:t>
            </w:r>
            <w:r w:rsidR="00071954">
              <w:t xml:space="preserve">, specifically on ‘finance and private sector engagement’,  ‘safeguards’ and ‘multiple benefits’. UN Environment has also played an instrumental part in setting up and managing the Tropical Landscapes Finance Facility in Indonesia, together with BNP Paribas, ADM Capital and ICRAF that aims to bring long-term capital to improve rural livelihoods through improved access to rural renewable energy and enhanced agricultural production that is decoupled from deforestation. </w:t>
            </w:r>
          </w:p>
        </w:tc>
        <w:tc>
          <w:tcPr>
            <w:tcW w:w="3960" w:type="dxa"/>
            <w:shd w:val="clear" w:color="auto" w:fill="auto"/>
          </w:tcPr>
          <w:p w14:paraId="65167A7F" w14:textId="6F01B6E9" w:rsidR="00BA7B22" w:rsidRPr="00B672CA" w:rsidRDefault="00027009" w:rsidP="00DE2501">
            <w:pPr>
              <w:pStyle w:val="Tabletext"/>
            </w:pPr>
            <w:r w:rsidRPr="00B672CA">
              <w:t>Implementing Agency of the Project. I</w:t>
            </w:r>
            <w:r w:rsidR="00371C61" w:rsidRPr="00B672CA">
              <w:t>n</w:t>
            </w:r>
            <w:r w:rsidRPr="00B672CA">
              <w:t xml:space="preserve"> addition, UN Environment will a</w:t>
            </w:r>
            <w:r w:rsidR="00BA7B22" w:rsidRPr="00B672CA">
              <w:t xml:space="preserve">ssess ‘additionality’ of the environmental and social risk framework of the </w:t>
            </w:r>
            <w:r w:rsidR="00005AAD" w:rsidRPr="00B672CA">
              <w:t>&amp;Green Fund</w:t>
            </w:r>
            <w:r w:rsidR="00BA7B22" w:rsidRPr="00B672CA">
              <w:t xml:space="preserve">, </w:t>
            </w:r>
            <w:r w:rsidR="00071954">
              <w:t>and contribute</w:t>
            </w:r>
            <w:r w:rsidR="00DE2501">
              <w:t>s</w:t>
            </w:r>
            <w:r w:rsidR="00071954">
              <w:t xml:space="preserve"> to assess the ‘jurisdictional eligibility criteria’ (JEC) of the &amp;Green Fund. In addition, it will </w:t>
            </w:r>
            <w:r w:rsidR="00BA7B22" w:rsidRPr="00B672CA">
              <w:t xml:space="preserve">contribute to monitoring and evaluation, and establish links to other related UN Environment-led initiatives (incl. the </w:t>
            </w:r>
            <w:r w:rsidR="00E2209F" w:rsidRPr="00B672CA">
              <w:t xml:space="preserve">TLFF </w:t>
            </w:r>
            <w:r w:rsidR="00BA7B22" w:rsidRPr="00B672CA">
              <w:t>and the GEF IAP Commodities project)</w:t>
            </w:r>
          </w:p>
        </w:tc>
      </w:tr>
      <w:tr w:rsidR="00BA7B22" w:rsidRPr="00B672CA" w14:paraId="3D22FC5D" w14:textId="77777777" w:rsidTr="00E2209F">
        <w:tc>
          <w:tcPr>
            <w:tcW w:w="2493" w:type="dxa"/>
            <w:shd w:val="clear" w:color="auto" w:fill="auto"/>
          </w:tcPr>
          <w:p w14:paraId="334B714A" w14:textId="77777777" w:rsidR="00BA7B22" w:rsidRPr="00B672CA" w:rsidRDefault="00BA7B22" w:rsidP="00371C61">
            <w:pPr>
              <w:pStyle w:val="Tabletext"/>
            </w:pPr>
            <w:r w:rsidRPr="00B672CA">
              <w:t>Norway’s International Climate and Forest Initiative (NICFI)</w:t>
            </w:r>
          </w:p>
        </w:tc>
        <w:tc>
          <w:tcPr>
            <w:tcW w:w="4376" w:type="dxa"/>
            <w:shd w:val="clear" w:color="auto" w:fill="auto"/>
          </w:tcPr>
          <w:p w14:paraId="7045E392" w14:textId="51E3D2A5" w:rsidR="00BA7B22" w:rsidRPr="00B672CA" w:rsidRDefault="00BA7B22" w:rsidP="00371C61">
            <w:pPr>
              <w:pStyle w:val="Tabletext"/>
            </w:pPr>
            <w:r w:rsidRPr="00B672CA">
              <w:t xml:space="preserve">NICFI is the main donor contributing to the PPI initiative that includes the </w:t>
            </w:r>
            <w:r w:rsidR="00005AAD" w:rsidRPr="00B672CA">
              <w:t>&amp;Green Fund</w:t>
            </w:r>
            <w:r w:rsidRPr="00B672CA">
              <w:t xml:space="preserve"> and the associated convening activities </w:t>
            </w:r>
          </w:p>
        </w:tc>
        <w:tc>
          <w:tcPr>
            <w:tcW w:w="3960" w:type="dxa"/>
            <w:shd w:val="clear" w:color="auto" w:fill="auto"/>
          </w:tcPr>
          <w:p w14:paraId="44384104" w14:textId="77777777" w:rsidR="00BA7B22" w:rsidRPr="00B672CA" w:rsidRDefault="00BA7B22" w:rsidP="00371C61">
            <w:pPr>
              <w:pStyle w:val="Tabletext"/>
            </w:pPr>
            <w:r w:rsidRPr="00B672CA">
              <w:t>Advisory role and providing substantive input</w:t>
            </w:r>
          </w:p>
        </w:tc>
      </w:tr>
      <w:tr w:rsidR="00BA7B22" w:rsidRPr="00B672CA" w14:paraId="794317C6" w14:textId="77777777" w:rsidTr="00E2209F">
        <w:tc>
          <w:tcPr>
            <w:tcW w:w="2493" w:type="dxa"/>
            <w:shd w:val="clear" w:color="auto" w:fill="auto"/>
          </w:tcPr>
          <w:p w14:paraId="02384153" w14:textId="77777777" w:rsidR="00BA7B22" w:rsidRPr="00B672CA" w:rsidRDefault="00BA7B22" w:rsidP="00371C61">
            <w:pPr>
              <w:pStyle w:val="Tabletext"/>
            </w:pPr>
            <w:r w:rsidRPr="00B672CA">
              <w:t>The GEF</w:t>
            </w:r>
          </w:p>
        </w:tc>
        <w:tc>
          <w:tcPr>
            <w:tcW w:w="4376" w:type="dxa"/>
            <w:shd w:val="clear" w:color="auto" w:fill="auto"/>
          </w:tcPr>
          <w:p w14:paraId="432EAFD8" w14:textId="3A64529C" w:rsidR="00BA7B22" w:rsidRPr="00B672CA" w:rsidRDefault="00BA7B22" w:rsidP="00371C61">
            <w:pPr>
              <w:pStyle w:val="Tabletext"/>
            </w:pPr>
            <w:r w:rsidRPr="00B672CA">
              <w:t xml:space="preserve">Leading the 3 IAPs and providing non-grant funding to the </w:t>
            </w:r>
            <w:r w:rsidR="00005AAD" w:rsidRPr="00B672CA">
              <w:t>&amp;Green Fund</w:t>
            </w:r>
          </w:p>
        </w:tc>
        <w:tc>
          <w:tcPr>
            <w:tcW w:w="3960" w:type="dxa"/>
            <w:shd w:val="clear" w:color="auto" w:fill="auto"/>
          </w:tcPr>
          <w:p w14:paraId="711CCF21" w14:textId="77777777" w:rsidR="00BA7B22" w:rsidRPr="00B672CA" w:rsidRDefault="00BA7B22" w:rsidP="00371C61">
            <w:pPr>
              <w:pStyle w:val="Tabletext"/>
            </w:pPr>
            <w:r w:rsidRPr="00B672CA">
              <w:t>Advisory role and providing substantive input</w:t>
            </w:r>
          </w:p>
        </w:tc>
      </w:tr>
      <w:tr w:rsidR="00BA7B22" w:rsidRPr="00B672CA" w14:paraId="468C358B" w14:textId="77777777" w:rsidTr="00E2209F">
        <w:tc>
          <w:tcPr>
            <w:tcW w:w="2493" w:type="dxa"/>
            <w:shd w:val="clear" w:color="auto" w:fill="auto"/>
          </w:tcPr>
          <w:p w14:paraId="1DF411A0" w14:textId="77777777" w:rsidR="00BA7B22" w:rsidRPr="00B672CA" w:rsidRDefault="00BA7B22" w:rsidP="00371C61">
            <w:pPr>
              <w:pStyle w:val="Tabletext"/>
            </w:pPr>
            <w:r w:rsidRPr="00B672CA">
              <w:t>The Nature Conservancy (TNC)</w:t>
            </w:r>
          </w:p>
        </w:tc>
        <w:tc>
          <w:tcPr>
            <w:tcW w:w="4376" w:type="dxa"/>
            <w:shd w:val="clear" w:color="auto" w:fill="auto"/>
          </w:tcPr>
          <w:p w14:paraId="3754E2FE" w14:textId="77777777" w:rsidR="00BA7B22" w:rsidRPr="00B672CA" w:rsidRDefault="00BA7B22" w:rsidP="00371C61">
            <w:pPr>
              <w:pStyle w:val="Tabletext"/>
            </w:pPr>
            <w:r w:rsidRPr="00B672CA">
              <w:t>TNC is a conservation organization working around the world to protect ecologically important lands and waters for nature and people</w:t>
            </w:r>
          </w:p>
        </w:tc>
        <w:tc>
          <w:tcPr>
            <w:tcW w:w="3960" w:type="dxa"/>
            <w:shd w:val="clear" w:color="auto" w:fill="auto"/>
          </w:tcPr>
          <w:p w14:paraId="4E950922" w14:textId="6E1D13CE"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27CF9296" w14:textId="77777777" w:rsidTr="00E2209F">
        <w:tc>
          <w:tcPr>
            <w:tcW w:w="2493" w:type="dxa"/>
            <w:shd w:val="clear" w:color="auto" w:fill="auto"/>
          </w:tcPr>
          <w:p w14:paraId="0BEEE752" w14:textId="77777777" w:rsidR="00BA7B22" w:rsidRPr="00B672CA" w:rsidRDefault="00BA7B22" w:rsidP="00371C61">
            <w:pPr>
              <w:pStyle w:val="Tabletext"/>
            </w:pPr>
            <w:r w:rsidRPr="00B672CA">
              <w:t>The World Resources Institute (WRI)</w:t>
            </w:r>
          </w:p>
        </w:tc>
        <w:tc>
          <w:tcPr>
            <w:tcW w:w="4376" w:type="dxa"/>
            <w:shd w:val="clear" w:color="auto" w:fill="auto"/>
          </w:tcPr>
          <w:p w14:paraId="672CF5C0" w14:textId="77777777" w:rsidR="00BA7B22" w:rsidRPr="00B672CA" w:rsidRDefault="00BA7B22" w:rsidP="00371C61">
            <w:pPr>
              <w:pStyle w:val="Tabletext"/>
            </w:pPr>
            <w:r w:rsidRPr="00B672CA">
              <w:t>WRI leads the Global Forest Watch program that is an interactive online forest monitoring and alert system</w:t>
            </w:r>
          </w:p>
        </w:tc>
        <w:tc>
          <w:tcPr>
            <w:tcW w:w="3960" w:type="dxa"/>
            <w:shd w:val="clear" w:color="auto" w:fill="auto"/>
          </w:tcPr>
          <w:p w14:paraId="42DCB319" w14:textId="77777777" w:rsidR="00BA7B22" w:rsidRPr="00B672CA" w:rsidRDefault="00BA7B22" w:rsidP="00371C61">
            <w:pPr>
              <w:pStyle w:val="Tabletext"/>
            </w:pPr>
            <w:r w:rsidRPr="00B672CA">
              <w:t>Providing inputs for the design of the impact monitoring activities</w:t>
            </w:r>
          </w:p>
        </w:tc>
      </w:tr>
      <w:tr w:rsidR="00BA7B22" w:rsidRPr="00B672CA" w14:paraId="21D812B1" w14:textId="77777777" w:rsidTr="00E2209F">
        <w:tc>
          <w:tcPr>
            <w:tcW w:w="2493" w:type="dxa"/>
            <w:shd w:val="clear" w:color="auto" w:fill="auto"/>
          </w:tcPr>
          <w:p w14:paraId="6137496D" w14:textId="77777777" w:rsidR="00BA7B22" w:rsidRPr="00B672CA" w:rsidRDefault="00BA7B22" w:rsidP="00371C61">
            <w:pPr>
              <w:pStyle w:val="Tabletext"/>
            </w:pPr>
            <w:r w:rsidRPr="00B672CA">
              <w:t>The Ministry of Environment and Forest, Indonesia</w:t>
            </w:r>
          </w:p>
        </w:tc>
        <w:tc>
          <w:tcPr>
            <w:tcW w:w="4376" w:type="dxa"/>
            <w:shd w:val="clear" w:color="auto" w:fill="auto"/>
          </w:tcPr>
          <w:p w14:paraId="2108B8A3" w14:textId="77777777" w:rsidR="00BA7B22" w:rsidRPr="00B672CA" w:rsidRDefault="00BA7B22" w:rsidP="00371C61">
            <w:pPr>
              <w:pStyle w:val="Tabletext"/>
            </w:pPr>
            <w:r w:rsidRPr="00B672CA">
              <w:t>Government authority on environmental policy in Indonesia</w:t>
            </w:r>
          </w:p>
        </w:tc>
        <w:tc>
          <w:tcPr>
            <w:tcW w:w="3960" w:type="dxa"/>
            <w:shd w:val="clear" w:color="auto" w:fill="auto"/>
          </w:tcPr>
          <w:p w14:paraId="669FF71D" w14:textId="77777777" w:rsidR="00BA7B22" w:rsidRPr="00B672CA" w:rsidRDefault="00BA7B22" w:rsidP="00371C61">
            <w:pPr>
              <w:pStyle w:val="Tabletext"/>
            </w:pPr>
            <w:r w:rsidRPr="00B672CA">
              <w:t>Providing technical inputs and alignment with other national initiatives</w:t>
            </w:r>
          </w:p>
        </w:tc>
      </w:tr>
      <w:tr w:rsidR="00BA7B22" w:rsidRPr="00B672CA" w14:paraId="63048FB4" w14:textId="77777777" w:rsidTr="00E2209F">
        <w:tc>
          <w:tcPr>
            <w:tcW w:w="2493" w:type="dxa"/>
            <w:shd w:val="clear" w:color="auto" w:fill="auto"/>
          </w:tcPr>
          <w:p w14:paraId="7951CD24" w14:textId="77777777" w:rsidR="00BA7B22" w:rsidRPr="00B672CA" w:rsidRDefault="00BA7B22" w:rsidP="00371C61">
            <w:pPr>
              <w:pStyle w:val="Tabletext"/>
            </w:pPr>
            <w:r w:rsidRPr="00B672CA">
              <w:t>The Ministry of Agriculture, Indonesia</w:t>
            </w:r>
          </w:p>
        </w:tc>
        <w:tc>
          <w:tcPr>
            <w:tcW w:w="4376" w:type="dxa"/>
            <w:shd w:val="clear" w:color="auto" w:fill="auto"/>
          </w:tcPr>
          <w:p w14:paraId="5237CACC" w14:textId="77777777" w:rsidR="00BA7B22" w:rsidRPr="00B672CA" w:rsidRDefault="00BA7B22" w:rsidP="00371C61">
            <w:pPr>
              <w:pStyle w:val="Tabletext"/>
            </w:pPr>
            <w:r w:rsidRPr="00B672CA">
              <w:t>Government authority on agricultural policy in Indonesia</w:t>
            </w:r>
          </w:p>
        </w:tc>
        <w:tc>
          <w:tcPr>
            <w:tcW w:w="3960" w:type="dxa"/>
            <w:shd w:val="clear" w:color="auto" w:fill="auto"/>
          </w:tcPr>
          <w:p w14:paraId="416BE387" w14:textId="77777777" w:rsidR="00BA7B22" w:rsidRPr="00B672CA" w:rsidRDefault="00BA7B22" w:rsidP="00371C61">
            <w:pPr>
              <w:pStyle w:val="Tabletext"/>
            </w:pPr>
            <w:r w:rsidRPr="00B672CA">
              <w:t>Providing technical inputs and alignment with other national initiatives</w:t>
            </w:r>
          </w:p>
        </w:tc>
      </w:tr>
      <w:tr w:rsidR="00BA7B22" w:rsidRPr="00B672CA" w14:paraId="3A9D5806" w14:textId="77777777" w:rsidTr="00E2209F">
        <w:tc>
          <w:tcPr>
            <w:tcW w:w="2493" w:type="dxa"/>
            <w:shd w:val="clear" w:color="auto" w:fill="auto"/>
          </w:tcPr>
          <w:p w14:paraId="4109C82E" w14:textId="77777777" w:rsidR="00BA7B22" w:rsidRPr="00B672CA" w:rsidRDefault="00BA7B22" w:rsidP="00371C61">
            <w:pPr>
              <w:pStyle w:val="Tabletext"/>
            </w:pPr>
            <w:r w:rsidRPr="00B672CA">
              <w:t>The Ministry of Agriculture, Brazil</w:t>
            </w:r>
          </w:p>
        </w:tc>
        <w:tc>
          <w:tcPr>
            <w:tcW w:w="4376" w:type="dxa"/>
            <w:shd w:val="clear" w:color="auto" w:fill="auto"/>
          </w:tcPr>
          <w:p w14:paraId="2F5153BF" w14:textId="77777777" w:rsidR="00BA7B22" w:rsidRPr="00B672CA" w:rsidRDefault="00BA7B22" w:rsidP="00371C61">
            <w:pPr>
              <w:pStyle w:val="Tabletext"/>
            </w:pPr>
            <w:r w:rsidRPr="00B672CA">
              <w:t>Government authority on agricultural policy in Brazil</w:t>
            </w:r>
          </w:p>
        </w:tc>
        <w:tc>
          <w:tcPr>
            <w:tcW w:w="3960" w:type="dxa"/>
            <w:shd w:val="clear" w:color="auto" w:fill="auto"/>
          </w:tcPr>
          <w:p w14:paraId="5E06815B" w14:textId="77777777" w:rsidR="00BA7B22" w:rsidRPr="00B672CA" w:rsidRDefault="00BA7B22" w:rsidP="00371C61">
            <w:pPr>
              <w:pStyle w:val="Tabletext"/>
            </w:pPr>
            <w:r w:rsidRPr="00B672CA">
              <w:t>Providing technical inputs and alignment with other national initiatives</w:t>
            </w:r>
          </w:p>
        </w:tc>
      </w:tr>
      <w:tr w:rsidR="00BA7B22" w:rsidRPr="00B672CA" w14:paraId="6401353F" w14:textId="77777777" w:rsidTr="00E2209F">
        <w:tc>
          <w:tcPr>
            <w:tcW w:w="2493" w:type="dxa"/>
            <w:shd w:val="clear" w:color="auto" w:fill="auto"/>
          </w:tcPr>
          <w:p w14:paraId="4146C176" w14:textId="77777777" w:rsidR="00BA7B22" w:rsidRPr="00B672CA" w:rsidRDefault="00BA7B22" w:rsidP="00371C61">
            <w:pPr>
              <w:pStyle w:val="Tabletext"/>
            </w:pPr>
            <w:r w:rsidRPr="00B672CA">
              <w:t>The Ministry of Environment, Brazil</w:t>
            </w:r>
          </w:p>
        </w:tc>
        <w:tc>
          <w:tcPr>
            <w:tcW w:w="4376" w:type="dxa"/>
            <w:shd w:val="clear" w:color="auto" w:fill="auto"/>
          </w:tcPr>
          <w:p w14:paraId="52789931" w14:textId="77777777" w:rsidR="00BA7B22" w:rsidRPr="00B672CA" w:rsidRDefault="00BA7B22" w:rsidP="00371C61">
            <w:pPr>
              <w:pStyle w:val="Tabletext"/>
            </w:pPr>
            <w:r w:rsidRPr="00B672CA">
              <w:t>Government authority on environmental policy in Brazil</w:t>
            </w:r>
          </w:p>
        </w:tc>
        <w:tc>
          <w:tcPr>
            <w:tcW w:w="3960" w:type="dxa"/>
            <w:shd w:val="clear" w:color="auto" w:fill="auto"/>
          </w:tcPr>
          <w:p w14:paraId="7799D805" w14:textId="77777777" w:rsidR="00BA7B22" w:rsidRPr="00B672CA" w:rsidRDefault="00BA7B22" w:rsidP="00371C61">
            <w:pPr>
              <w:pStyle w:val="Tabletext"/>
            </w:pPr>
            <w:r w:rsidRPr="00B672CA">
              <w:t>Providing technical inputs and alignment with other national initiatives</w:t>
            </w:r>
          </w:p>
        </w:tc>
      </w:tr>
      <w:tr w:rsidR="00BA7B22" w:rsidRPr="00B672CA" w14:paraId="4F568D88" w14:textId="77777777" w:rsidTr="00E2209F">
        <w:tc>
          <w:tcPr>
            <w:tcW w:w="2493" w:type="dxa"/>
            <w:shd w:val="clear" w:color="auto" w:fill="auto"/>
          </w:tcPr>
          <w:p w14:paraId="1D648E6D" w14:textId="77777777" w:rsidR="00BA7B22" w:rsidRPr="00B672CA" w:rsidRDefault="00BA7B22" w:rsidP="00371C61">
            <w:pPr>
              <w:pStyle w:val="Tabletext"/>
            </w:pPr>
            <w:r w:rsidRPr="00B672CA">
              <w:t>The Ministry of Agriculture, Liberia</w:t>
            </w:r>
          </w:p>
        </w:tc>
        <w:tc>
          <w:tcPr>
            <w:tcW w:w="4376" w:type="dxa"/>
            <w:shd w:val="clear" w:color="auto" w:fill="auto"/>
          </w:tcPr>
          <w:p w14:paraId="35B8AB96" w14:textId="77777777" w:rsidR="00BA7B22" w:rsidRPr="00B672CA" w:rsidRDefault="00BA7B22" w:rsidP="00371C61">
            <w:pPr>
              <w:pStyle w:val="Tabletext"/>
            </w:pPr>
            <w:r w:rsidRPr="00B672CA">
              <w:t>Government authority on agricultural policy in Liberia</w:t>
            </w:r>
          </w:p>
        </w:tc>
        <w:tc>
          <w:tcPr>
            <w:tcW w:w="3960" w:type="dxa"/>
            <w:shd w:val="clear" w:color="auto" w:fill="auto"/>
          </w:tcPr>
          <w:p w14:paraId="089B77FB" w14:textId="77777777" w:rsidR="00BA7B22" w:rsidRPr="00B672CA" w:rsidRDefault="00BA7B22" w:rsidP="00371C61">
            <w:pPr>
              <w:pStyle w:val="Tabletext"/>
            </w:pPr>
            <w:r w:rsidRPr="00B672CA">
              <w:t>Providing technical inputs and alignment with other national initiatives</w:t>
            </w:r>
          </w:p>
        </w:tc>
      </w:tr>
      <w:tr w:rsidR="00BA7B22" w:rsidRPr="00B672CA" w14:paraId="7F825AE4" w14:textId="77777777" w:rsidTr="00E2209F">
        <w:tc>
          <w:tcPr>
            <w:tcW w:w="2493" w:type="dxa"/>
            <w:shd w:val="clear" w:color="auto" w:fill="auto"/>
          </w:tcPr>
          <w:p w14:paraId="468080D5" w14:textId="77777777" w:rsidR="00BA7B22" w:rsidRPr="00B672CA" w:rsidRDefault="00BA7B22" w:rsidP="00371C61">
            <w:pPr>
              <w:pStyle w:val="Tabletext"/>
            </w:pPr>
            <w:r w:rsidRPr="00B672CA">
              <w:t>Aidenvironment, Indonesia</w:t>
            </w:r>
          </w:p>
        </w:tc>
        <w:tc>
          <w:tcPr>
            <w:tcW w:w="4376" w:type="dxa"/>
            <w:shd w:val="clear" w:color="auto" w:fill="auto"/>
          </w:tcPr>
          <w:p w14:paraId="4ADB50D5" w14:textId="77777777" w:rsidR="00BA7B22" w:rsidRPr="00B672CA" w:rsidRDefault="00BA7B22" w:rsidP="00371C61">
            <w:pPr>
              <w:pStyle w:val="Tabletext"/>
            </w:pPr>
            <w:r w:rsidRPr="00B672CA">
              <w:t>NGO with know-how on sustainable land-use management and forest protection/ restoration</w:t>
            </w:r>
          </w:p>
        </w:tc>
        <w:tc>
          <w:tcPr>
            <w:tcW w:w="3960" w:type="dxa"/>
            <w:shd w:val="clear" w:color="auto" w:fill="auto"/>
          </w:tcPr>
          <w:p w14:paraId="5AB8D2F8" w14:textId="77777777" w:rsidR="00BA7B22" w:rsidRPr="00B672CA" w:rsidRDefault="00BA7B22" w:rsidP="00371C61">
            <w:pPr>
              <w:pStyle w:val="Tabletext"/>
            </w:pPr>
            <w:r w:rsidRPr="00B672CA">
              <w:t xml:space="preserve">Providing inputs for the design of activities for technical assistance to companies </w:t>
            </w:r>
          </w:p>
        </w:tc>
      </w:tr>
      <w:tr w:rsidR="00BA7B22" w:rsidRPr="00B672CA" w14:paraId="2D690CB2" w14:textId="77777777" w:rsidTr="00E2209F">
        <w:tc>
          <w:tcPr>
            <w:tcW w:w="2493" w:type="dxa"/>
            <w:tcBorders>
              <w:bottom w:val="single" w:sz="4" w:space="0" w:color="auto"/>
            </w:tcBorders>
            <w:shd w:val="clear" w:color="auto" w:fill="auto"/>
          </w:tcPr>
          <w:p w14:paraId="46E5E51F" w14:textId="77777777" w:rsidR="00BA7B22" w:rsidRPr="00B672CA" w:rsidRDefault="00BA7B22" w:rsidP="00371C61">
            <w:pPr>
              <w:pStyle w:val="Tabletext"/>
            </w:pPr>
            <w:r w:rsidRPr="00B672CA">
              <w:t>Zoological Society of London (ZSL)</w:t>
            </w:r>
          </w:p>
        </w:tc>
        <w:tc>
          <w:tcPr>
            <w:tcW w:w="4376" w:type="dxa"/>
            <w:tcBorders>
              <w:bottom w:val="single" w:sz="4" w:space="0" w:color="auto"/>
            </w:tcBorders>
            <w:shd w:val="clear" w:color="auto" w:fill="auto"/>
          </w:tcPr>
          <w:p w14:paraId="7C93BFAF" w14:textId="77777777" w:rsidR="00BA7B22" w:rsidRPr="00B672CA" w:rsidRDefault="00BA7B22" w:rsidP="00371C61">
            <w:pPr>
              <w:pStyle w:val="Tabletext"/>
            </w:pPr>
            <w:r w:rsidRPr="00B672CA">
              <w:t>NGO with know-how on sustainable land-use management and forest protection/restoration</w:t>
            </w:r>
          </w:p>
        </w:tc>
        <w:tc>
          <w:tcPr>
            <w:tcW w:w="3960" w:type="dxa"/>
            <w:tcBorders>
              <w:bottom w:val="single" w:sz="4" w:space="0" w:color="auto"/>
            </w:tcBorders>
            <w:shd w:val="clear" w:color="auto" w:fill="auto"/>
          </w:tcPr>
          <w:p w14:paraId="4B2D8C38" w14:textId="128C467E"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18F429A7" w14:textId="77777777" w:rsidTr="00E2209F">
        <w:tc>
          <w:tcPr>
            <w:tcW w:w="2493" w:type="dxa"/>
            <w:shd w:val="clear" w:color="auto" w:fill="auto"/>
          </w:tcPr>
          <w:p w14:paraId="3218E607" w14:textId="77777777" w:rsidR="00BA7B22" w:rsidRPr="00B672CA" w:rsidRDefault="00BA7B22" w:rsidP="00371C61">
            <w:pPr>
              <w:pStyle w:val="Tabletext"/>
            </w:pPr>
            <w:r w:rsidRPr="00B672CA">
              <w:t>The Forest Trust (TFT)</w:t>
            </w:r>
          </w:p>
        </w:tc>
        <w:tc>
          <w:tcPr>
            <w:tcW w:w="4376" w:type="dxa"/>
            <w:shd w:val="clear" w:color="auto" w:fill="auto"/>
          </w:tcPr>
          <w:p w14:paraId="003D5A76" w14:textId="77777777" w:rsidR="00BA7B22" w:rsidRPr="00B672CA" w:rsidRDefault="00BA7B22" w:rsidP="00371C61">
            <w:pPr>
              <w:pStyle w:val="Tabletext"/>
            </w:pPr>
            <w:r w:rsidRPr="00B672CA">
              <w:t>NGO with know-how on sustainable land-use management and forest protection/restoration</w:t>
            </w:r>
          </w:p>
        </w:tc>
        <w:tc>
          <w:tcPr>
            <w:tcW w:w="3960" w:type="dxa"/>
            <w:shd w:val="clear" w:color="auto" w:fill="auto"/>
          </w:tcPr>
          <w:p w14:paraId="4CC41205" w14:textId="0297DC3B"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4E7D774E" w14:textId="77777777" w:rsidTr="00E2209F">
        <w:tc>
          <w:tcPr>
            <w:tcW w:w="2493" w:type="dxa"/>
            <w:shd w:val="clear" w:color="auto" w:fill="auto"/>
          </w:tcPr>
          <w:p w14:paraId="69EEB9BE" w14:textId="77777777" w:rsidR="00BA7B22" w:rsidRPr="00DB279B" w:rsidRDefault="00BA7B22" w:rsidP="00371C61">
            <w:pPr>
              <w:pStyle w:val="Tabletext"/>
              <w:rPr>
                <w:lang w:val="fr-CH"/>
              </w:rPr>
            </w:pPr>
            <w:r w:rsidRPr="00DB279B">
              <w:rPr>
                <w:lang w:val="fr-CH"/>
              </w:rPr>
              <w:t>Instituto Centro de Vida (ICV)</w:t>
            </w:r>
          </w:p>
        </w:tc>
        <w:tc>
          <w:tcPr>
            <w:tcW w:w="4376" w:type="dxa"/>
            <w:shd w:val="clear" w:color="auto" w:fill="auto"/>
          </w:tcPr>
          <w:p w14:paraId="06589235" w14:textId="77777777" w:rsidR="00BA7B22" w:rsidRPr="00B672CA" w:rsidRDefault="00BA7B22" w:rsidP="00371C61">
            <w:pPr>
              <w:pStyle w:val="Tabletext"/>
            </w:pPr>
            <w:r w:rsidRPr="00B672CA">
              <w:t>NGO with know-how on sustainable land-use management and forest protection/ restoration</w:t>
            </w:r>
          </w:p>
        </w:tc>
        <w:tc>
          <w:tcPr>
            <w:tcW w:w="3960" w:type="dxa"/>
            <w:shd w:val="clear" w:color="auto" w:fill="auto"/>
          </w:tcPr>
          <w:p w14:paraId="0EEDA91D" w14:textId="711AC3D0"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43DC7225" w14:textId="77777777" w:rsidTr="00E2209F">
        <w:tc>
          <w:tcPr>
            <w:tcW w:w="2493" w:type="dxa"/>
            <w:shd w:val="clear" w:color="auto" w:fill="auto"/>
          </w:tcPr>
          <w:p w14:paraId="3E56C6E6" w14:textId="77777777" w:rsidR="00BA7B22" w:rsidRPr="00B672CA" w:rsidRDefault="00BA7B22" w:rsidP="00371C61">
            <w:pPr>
              <w:pStyle w:val="Tabletext"/>
            </w:pPr>
            <w:r w:rsidRPr="00B672CA">
              <w:t>Aliança da Terra</w:t>
            </w:r>
          </w:p>
        </w:tc>
        <w:tc>
          <w:tcPr>
            <w:tcW w:w="4376" w:type="dxa"/>
            <w:shd w:val="clear" w:color="auto" w:fill="auto"/>
          </w:tcPr>
          <w:p w14:paraId="22193E0C" w14:textId="77777777" w:rsidR="00BA7B22" w:rsidRPr="00B672CA" w:rsidRDefault="00BA7B22" w:rsidP="00371C61">
            <w:pPr>
              <w:pStyle w:val="Tabletext"/>
            </w:pPr>
            <w:r w:rsidRPr="00B672CA">
              <w:t>NGO with know-how on sustainable land-use management and forest protection/ restoration</w:t>
            </w:r>
          </w:p>
        </w:tc>
        <w:tc>
          <w:tcPr>
            <w:tcW w:w="3960" w:type="dxa"/>
            <w:shd w:val="clear" w:color="auto" w:fill="auto"/>
          </w:tcPr>
          <w:p w14:paraId="3D6E19B1" w14:textId="14F991E2"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47D2A633" w14:textId="77777777" w:rsidTr="00E2209F">
        <w:tc>
          <w:tcPr>
            <w:tcW w:w="2493" w:type="dxa"/>
            <w:shd w:val="clear" w:color="auto" w:fill="auto"/>
          </w:tcPr>
          <w:p w14:paraId="7B13BCEB" w14:textId="77777777" w:rsidR="00BA7B22" w:rsidRPr="00B672CA" w:rsidRDefault="00BA7B22" w:rsidP="00371C61">
            <w:pPr>
              <w:pStyle w:val="Tabletext"/>
            </w:pPr>
            <w:r w:rsidRPr="00B672CA">
              <w:t>Conservation International (CI)</w:t>
            </w:r>
          </w:p>
        </w:tc>
        <w:tc>
          <w:tcPr>
            <w:tcW w:w="4376" w:type="dxa"/>
            <w:shd w:val="clear" w:color="auto" w:fill="auto"/>
          </w:tcPr>
          <w:p w14:paraId="3F438E83" w14:textId="77777777" w:rsidR="00BA7B22" w:rsidRPr="00B672CA" w:rsidRDefault="00BA7B22" w:rsidP="00371C61">
            <w:pPr>
              <w:pStyle w:val="Tabletext"/>
            </w:pPr>
            <w:r w:rsidRPr="00B672CA">
              <w:t>NGO with know-how on sustainable land-use management and forest protection/ restoration</w:t>
            </w:r>
          </w:p>
        </w:tc>
        <w:tc>
          <w:tcPr>
            <w:tcW w:w="3960" w:type="dxa"/>
            <w:shd w:val="clear" w:color="auto" w:fill="auto"/>
          </w:tcPr>
          <w:p w14:paraId="1DBF1D45" w14:textId="4BD5A276"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BA7B22" w:rsidRPr="00B672CA" w14:paraId="2DF2EACD" w14:textId="77777777" w:rsidTr="00E2209F">
        <w:tc>
          <w:tcPr>
            <w:tcW w:w="2493" w:type="dxa"/>
            <w:shd w:val="clear" w:color="auto" w:fill="auto"/>
          </w:tcPr>
          <w:p w14:paraId="773ECCF6" w14:textId="77777777" w:rsidR="00BA7B22" w:rsidRPr="00B672CA" w:rsidRDefault="00BA7B22" w:rsidP="00371C61">
            <w:pPr>
              <w:pStyle w:val="Tabletext"/>
            </w:pPr>
            <w:r w:rsidRPr="00B672CA">
              <w:t>Fauna &amp; Flora International (FFI)</w:t>
            </w:r>
          </w:p>
        </w:tc>
        <w:tc>
          <w:tcPr>
            <w:tcW w:w="4376" w:type="dxa"/>
            <w:shd w:val="clear" w:color="auto" w:fill="auto"/>
          </w:tcPr>
          <w:p w14:paraId="3F4A02C9" w14:textId="77777777" w:rsidR="00BA7B22" w:rsidRPr="00B672CA" w:rsidRDefault="00BA7B22" w:rsidP="00371C61">
            <w:pPr>
              <w:pStyle w:val="Tabletext"/>
            </w:pPr>
            <w:r w:rsidRPr="00B672CA">
              <w:t>NGO with know-how on sustainable land-use management and forest protection/restoration</w:t>
            </w:r>
          </w:p>
        </w:tc>
        <w:tc>
          <w:tcPr>
            <w:tcW w:w="3960" w:type="dxa"/>
            <w:shd w:val="clear" w:color="auto" w:fill="auto"/>
          </w:tcPr>
          <w:p w14:paraId="1559B7F5" w14:textId="21BF4928" w:rsidR="00BA7B22" w:rsidRPr="00B672CA" w:rsidRDefault="00BA7B22" w:rsidP="00371C61">
            <w:pPr>
              <w:pStyle w:val="Tabletext"/>
            </w:pPr>
            <w:r w:rsidRPr="00B672CA">
              <w:t xml:space="preserve">Support client companies in assessing their protection strategy and helping these companies to meet the criteria of the </w:t>
            </w:r>
            <w:r w:rsidR="00005AAD" w:rsidRPr="00B672CA">
              <w:t>&amp;Green Fund</w:t>
            </w:r>
            <w:r w:rsidRPr="00B672CA">
              <w:rPr>
                <w:rStyle w:val="CommentReference"/>
                <w:lang w:val="en-US"/>
              </w:rPr>
              <w:t>.</w:t>
            </w:r>
          </w:p>
        </w:tc>
      </w:tr>
      <w:tr w:rsidR="00E2209F" w:rsidRPr="00B672CA" w14:paraId="2971E064" w14:textId="77777777" w:rsidTr="00DE1086">
        <w:tc>
          <w:tcPr>
            <w:tcW w:w="10829" w:type="dxa"/>
            <w:gridSpan w:val="3"/>
            <w:shd w:val="clear" w:color="auto" w:fill="DEEAF6" w:themeFill="accent1" w:themeFillTint="33"/>
          </w:tcPr>
          <w:p w14:paraId="51BF0D66" w14:textId="6E509033" w:rsidR="00E2209F" w:rsidRPr="00B672CA" w:rsidRDefault="00E2209F" w:rsidP="00371C61">
            <w:pPr>
              <w:pStyle w:val="Tabletext"/>
            </w:pPr>
            <w:r w:rsidRPr="00B672CA">
              <w:t>Investors/ co-investors</w:t>
            </w:r>
            <w:r w:rsidRPr="00B672CA">
              <w:rPr>
                <w:rStyle w:val="FootnoteReference"/>
                <w:lang w:val="en-US"/>
              </w:rPr>
              <w:footnoteReference w:id="38"/>
            </w:r>
            <w:r w:rsidRPr="00B672CA">
              <w:t xml:space="preserve"> (Global level):</w:t>
            </w:r>
          </w:p>
        </w:tc>
      </w:tr>
      <w:tr w:rsidR="00BA7B22" w:rsidRPr="00B672CA" w14:paraId="3A9471CC" w14:textId="77777777" w:rsidTr="00E2209F">
        <w:tc>
          <w:tcPr>
            <w:tcW w:w="2493" w:type="dxa"/>
            <w:shd w:val="clear" w:color="auto" w:fill="auto"/>
          </w:tcPr>
          <w:p w14:paraId="10BA2A1B" w14:textId="77777777" w:rsidR="00BA7B22" w:rsidRPr="00B672CA" w:rsidRDefault="00BA7B22" w:rsidP="00371C61">
            <w:pPr>
              <w:pStyle w:val="Tabletext"/>
            </w:pPr>
            <w:r w:rsidRPr="00B672CA">
              <w:t xml:space="preserve">The World Bank </w:t>
            </w:r>
          </w:p>
        </w:tc>
        <w:tc>
          <w:tcPr>
            <w:tcW w:w="4376" w:type="dxa"/>
            <w:shd w:val="clear" w:color="auto" w:fill="auto"/>
          </w:tcPr>
          <w:p w14:paraId="50EE161D" w14:textId="77777777" w:rsidR="00BA7B22" w:rsidRPr="00B672CA" w:rsidRDefault="00BA7B22" w:rsidP="00371C61">
            <w:pPr>
              <w:pStyle w:val="Tabletext"/>
            </w:pPr>
            <w:r w:rsidRPr="00B672CA">
              <w:t>Multilateral Development Organization</w:t>
            </w:r>
          </w:p>
        </w:tc>
        <w:tc>
          <w:tcPr>
            <w:tcW w:w="3960" w:type="dxa"/>
            <w:shd w:val="clear" w:color="auto" w:fill="auto"/>
          </w:tcPr>
          <w:p w14:paraId="58D33B3D" w14:textId="77777777" w:rsidR="00BA7B22" w:rsidRPr="00B672CA" w:rsidRDefault="00BA7B22" w:rsidP="00371C61">
            <w:pPr>
              <w:pStyle w:val="Tabletext"/>
            </w:pPr>
            <w:r w:rsidRPr="00B672CA">
              <w:t>Potential investor</w:t>
            </w:r>
          </w:p>
        </w:tc>
      </w:tr>
      <w:tr w:rsidR="00BA7B22" w:rsidRPr="00B672CA" w14:paraId="7395032E" w14:textId="77777777" w:rsidTr="00E2209F">
        <w:tc>
          <w:tcPr>
            <w:tcW w:w="2493" w:type="dxa"/>
            <w:shd w:val="clear" w:color="auto" w:fill="auto"/>
          </w:tcPr>
          <w:p w14:paraId="6BDE6265" w14:textId="77777777" w:rsidR="00BA7B22" w:rsidRPr="00B672CA" w:rsidRDefault="00BA7B22" w:rsidP="00371C61">
            <w:pPr>
              <w:pStyle w:val="Tabletext"/>
            </w:pPr>
            <w:r w:rsidRPr="00B672CA">
              <w:t>IFC</w:t>
            </w:r>
          </w:p>
        </w:tc>
        <w:tc>
          <w:tcPr>
            <w:tcW w:w="4376" w:type="dxa"/>
            <w:shd w:val="clear" w:color="auto" w:fill="auto"/>
          </w:tcPr>
          <w:p w14:paraId="4D719AE0" w14:textId="77777777" w:rsidR="00BA7B22" w:rsidRPr="00B672CA" w:rsidRDefault="00BA7B22" w:rsidP="00371C61">
            <w:pPr>
              <w:pStyle w:val="Tabletext"/>
            </w:pPr>
            <w:r w:rsidRPr="00B672CA">
              <w:t>Development Finance Institution (DFI)</w:t>
            </w:r>
          </w:p>
        </w:tc>
        <w:tc>
          <w:tcPr>
            <w:tcW w:w="3960" w:type="dxa"/>
            <w:shd w:val="clear" w:color="auto" w:fill="auto"/>
          </w:tcPr>
          <w:p w14:paraId="1A4F69A8" w14:textId="77777777" w:rsidR="00BA7B22" w:rsidRPr="00B672CA" w:rsidRDefault="00BA7B22" w:rsidP="00371C61">
            <w:pPr>
              <w:pStyle w:val="Tabletext"/>
            </w:pPr>
            <w:r w:rsidRPr="00B672CA">
              <w:t>Potential co-investor</w:t>
            </w:r>
          </w:p>
        </w:tc>
      </w:tr>
      <w:tr w:rsidR="00BA7B22" w:rsidRPr="00B672CA" w14:paraId="34417149" w14:textId="77777777" w:rsidTr="00E2209F">
        <w:tc>
          <w:tcPr>
            <w:tcW w:w="2493" w:type="dxa"/>
            <w:shd w:val="clear" w:color="auto" w:fill="auto"/>
          </w:tcPr>
          <w:p w14:paraId="36A801E9" w14:textId="77777777" w:rsidR="00BA7B22" w:rsidRPr="00B672CA" w:rsidRDefault="00BA7B22" w:rsidP="00371C61">
            <w:pPr>
              <w:pStyle w:val="Tabletext"/>
            </w:pPr>
            <w:r w:rsidRPr="00B672CA">
              <w:t>Netherlands Development Finance Company</w:t>
            </w:r>
          </w:p>
        </w:tc>
        <w:tc>
          <w:tcPr>
            <w:tcW w:w="4376" w:type="dxa"/>
            <w:shd w:val="clear" w:color="auto" w:fill="auto"/>
          </w:tcPr>
          <w:p w14:paraId="665E0768" w14:textId="77777777" w:rsidR="00BA7B22" w:rsidRPr="00B672CA" w:rsidRDefault="00BA7B22" w:rsidP="00371C61">
            <w:pPr>
              <w:pStyle w:val="Tabletext"/>
            </w:pPr>
            <w:r w:rsidRPr="00B672CA">
              <w:t>DFI</w:t>
            </w:r>
          </w:p>
        </w:tc>
        <w:tc>
          <w:tcPr>
            <w:tcW w:w="3960" w:type="dxa"/>
            <w:shd w:val="clear" w:color="auto" w:fill="auto"/>
          </w:tcPr>
          <w:p w14:paraId="404F10B9" w14:textId="77777777" w:rsidR="00BA7B22" w:rsidRPr="00B672CA" w:rsidRDefault="00BA7B22" w:rsidP="00371C61">
            <w:pPr>
              <w:pStyle w:val="Tabletext"/>
            </w:pPr>
            <w:r w:rsidRPr="00B672CA">
              <w:t>Potential co-investor</w:t>
            </w:r>
          </w:p>
        </w:tc>
      </w:tr>
      <w:tr w:rsidR="00BA7B22" w:rsidRPr="00B672CA" w14:paraId="0B6FD79B" w14:textId="77777777" w:rsidTr="00E2209F">
        <w:tc>
          <w:tcPr>
            <w:tcW w:w="2493" w:type="dxa"/>
            <w:shd w:val="clear" w:color="auto" w:fill="auto"/>
          </w:tcPr>
          <w:p w14:paraId="4DA3BC75" w14:textId="77777777" w:rsidR="00BA7B22" w:rsidRPr="00B672CA" w:rsidRDefault="00BA7B22" w:rsidP="00371C61">
            <w:pPr>
              <w:pStyle w:val="Tabletext"/>
            </w:pPr>
            <w:r w:rsidRPr="00B672CA">
              <w:t>Proparco (French DFI)</w:t>
            </w:r>
          </w:p>
        </w:tc>
        <w:tc>
          <w:tcPr>
            <w:tcW w:w="4376" w:type="dxa"/>
            <w:shd w:val="clear" w:color="auto" w:fill="auto"/>
          </w:tcPr>
          <w:p w14:paraId="1D81C486" w14:textId="77777777" w:rsidR="00BA7B22" w:rsidRPr="00B672CA" w:rsidRDefault="00BA7B22" w:rsidP="00371C61">
            <w:pPr>
              <w:pStyle w:val="Tabletext"/>
            </w:pPr>
            <w:r w:rsidRPr="00B672CA">
              <w:t>DFI</w:t>
            </w:r>
          </w:p>
        </w:tc>
        <w:tc>
          <w:tcPr>
            <w:tcW w:w="3960" w:type="dxa"/>
            <w:shd w:val="clear" w:color="auto" w:fill="auto"/>
          </w:tcPr>
          <w:p w14:paraId="165D115D" w14:textId="77777777" w:rsidR="00BA7B22" w:rsidRPr="00B672CA" w:rsidRDefault="00BA7B22" w:rsidP="00371C61">
            <w:pPr>
              <w:pStyle w:val="Tabletext"/>
            </w:pPr>
            <w:r w:rsidRPr="00B672CA">
              <w:t>Potential co-investor</w:t>
            </w:r>
          </w:p>
        </w:tc>
      </w:tr>
      <w:tr w:rsidR="00BA7B22" w:rsidRPr="00B672CA" w14:paraId="6EDABC8E" w14:textId="77777777" w:rsidTr="00E2209F">
        <w:tc>
          <w:tcPr>
            <w:tcW w:w="2493" w:type="dxa"/>
            <w:shd w:val="clear" w:color="auto" w:fill="auto"/>
          </w:tcPr>
          <w:p w14:paraId="5CAF1F56" w14:textId="77777777" w:rsidR="00BA7B22" w:rsidRPr="00B672CA" w:rsidRDefault="00BA7B22" w:rsidP="00371C61">
            <w:pPr>
              <w:pStyle w:val="Tabletext"/>
            </w:pPr>
            <w:r w:rsidRPr="00B672CA">
              <w:t xml:space="preserve">BRI Agro (Indonesia), </w:t>
            </w:r>
          </w:p>
        </w:tc>
        <w:tc>
          <w:tcPr>
            <w:tcW w:w="4376" w:type="dxa"/>
            <w:shd w:val="clear" w:color="auto" w:fill="auto"/>
          </w:tcPr>
          <w:p w14:paraId="455211C4" w14:textId="77777777" w:rsidR="00BA7B22" w:rsidRPr="00B672CA" w:rsidRDefault="00BA7B22" w:rsidP="00371C61">
            <w:pPr>
              <w:pStyle w:val="Tabletext"/>
            </w:pPr>
            <w:r w:rsidRPr="00B672CA">
              <w:t>National Finance Institution (NFI)</w:t>
            </w:r>
          </w:p>
        </w:tc>
        <w:tc>
          <w:tcPr>
            <w:tcW w:w="3960" w:type="dxa"/>
            <w:shd w:val="clear" w:color="auto" w:fill="auto"/>
          </w:tcPr>
          <w:p w14:paraId="788058C7" w14:textId="77777777" w:rsidR="00BA7B22" w:rsidRPr="00B672CA" w:rsidRDefault="00BA7B22" w:rsidP="00371C61">
            <w:pPr>
              <w:pStyle w:val="Tabletext"/>
            </w:pPr>
            <w:r w:rsidRPr="00B672CA">
              <w:t>Potential co-investor</w:t>
            </w:r>
          </w:p>
        </w:tc>
      </w:tr>
      <w:tr w:rsidR="00BA7B22" w:rsidRPr="00B672CA" w14:paraId="4082F8D8" w14:textId="77777777" w:rsidTr="00E2209F">
        <w:tc>
          <w:tcPr>
            <w:tcW w:w="2493" w:type="dxa"/>
            <w:shd w:val="clear" w:color="auto" w:fill="auto"/>
          </w:tcPr>
          <w:p w14:paraId="588093F0" w14:textId="77777777" w:rsidR="00BA7B22" w:rsidRPr="00B672CA" w:rsidRDefault="00BA7B22" w:rsidP="00371C61">
            <w:pPr>
              <w:pStyle w:val="Tabletext"/>
            </w:pPr>
            <w:r w:rsidRPr="00B672CA">
              <w:t>Banco do Brasil (Brazil)</w:t>
            </w:r>
          </w:p>
        </w:tc>
        <w:tc>
          <w:tcPr>
            <w:tcW w:w="4376" w:type="dxa"/>
            <w:shd w:val="clear" w:color="auto" w:fill="auto"/>
          </w:tcPr>
          <w:p w14:paraId="57B83DDF" w14:textId="77777777" w:rsidR="00BA7B22" w:rsidRPr="00B672CA" w:rsidRDefault="00BA7B22" w:rsidP="00371C61">
            <w:pPr>
              <w:pStyle w:val="Tabletext"/>
            </w:pPr>
            <w:r w:rsidRPr="00B672CA">
              <w:t>NFI</w:t>
            </w:r>
          </w:p>
        </w:tc>
        <w:tc>
          <w:tcPr>
            <w:tcW w:w="3960" w:type="dxa"/>
            <w:shd w:val="clear" w:color="auto" w:fill="auto"/>
          </w:tcPr>
          <w:p w14:paraId="522A6C20" w14:textId="77777777" w:rsidR="00BA7B22" w:rsidRPr="00B672CA" w:rsidRDefault="00BA7B22" w:rsidP="00371C61">
            <w:pPr>
              <w:pStyle w:val="Tabletext"/>
            </w:pPr>
            <w:r w:rsidRPr="00B672CA">
              <w:t>Potential co-investor</w:t>
            </w:r>
          </w:p>
        </w:tc>
      </w:tr>
      <w:tr w:rsidR="00BA7B22" w:rsidRPr="00B672CA" w14:paraId="1A4E9CDA" w14:textId="77777777" w:rsidTr="00E2209F">
        <w:tc>
          <w:tcPr>
            <w:tcW w:w="2493" w:type="dxa"/>
            <w:shd w:val="clear" w:color="auto" w:fill="auto"/>
          </w:tcPr>
          <w:p w14:paraId="7B913B8D" w14:textId="77777777" w:rsidR="00BA7B22" w:rsidRPr="00B672CA" w:rsidRDefault="00BA7B22" w:rsidP="00371C61">
            <w:pPr>
              <w:pStyle w:val="Tabletext"/>
            </w:pPr>
            <w:r w:rsidRPr="00B672CA">
              <w:t>Rabobank (Dutch)</w:t>
            </w:r>
          </w:p>
        </w:tc>
        <w:tc>
          <w:tcPr>
            <w:tcW w:w="4376" w:type="dxa"/>
            <w:shd w:val="clear" w:color="auto" w:fill="auto"/>
          </w:tcPr>
          <w:p w14:paraId="0DA67C33" w14:textId="77777777" w:rsidR="00BA7B22" w:rsidRPr="00B672CA" w:rsidRDefault="00BA7B22" w:rsidP="00371C61">
            <w:pPr>
              <w:pStyle w:val="Tabletext"/>
            </w:pPr>
            <w:r w:rsidRPr="00B672CA">
              <w:t>NFI</w:t>
            </w:r>
          </w:p>
        </w:tc>
        <w:tc>
          <w:tcPr>
            <w:tcW w:w="3960" w:type="dxa"/>
            <w:shd w:val="clear" w:color="auto" w:fill="auto"/>
          </w:tcPr>
          <w:p w14:paraId="46F75A43" w14:textId="77777777" w:rsidR="00BA7B22" w:rsidRPr="00B672CA" w:rsidRDefault="00BA7B22" w:rsidP="00371C61">
            <w:pPr>
              <w:pStyle w:val="Tabletext"/>
            </w:pPr>
            <w:r w:rsidRPr="00B672CA">
              <w:t>Potential co-investor</w:t>
            </w:r>
          </w:p>
        </w:tc>
      </w:tr>
      <w:tr w:rsidR="00BA7B22" w:rsidRPr="00B672CA" w14:paraId="33944C18" w14:textId="77777777" w:rsidTr="00E2209F">
        <w:tc>
          <w:tcPr>
            <w:tcW w:w="2493" w:type="dxa"/>
            <w:shd w:val="clear" w:color="auto" w:fill="auto"/>
          </w:tcPr>
          <w:p w14:paraId="54E408DF" w14:textId="77777777" w:rsidR="00BA7B22" w:rsidRPr="00B672CA" w:rsidRDefault="00BA7B22" w:rsidP="00371C61">
            <w:pPr>
              <w:pStyle w:val="Tabletext"/>
            </w:pPr>
            <w:r w:rsidRPr="00B672CA">
              <w:t>Tropical Landscapes Finance Facility</w:t>
            </w:r>
          </w:p>
        </w:tc>
        <w:tc>
          <w:tcPr>
            <w:tcW w:w="4376" w:type="dxa"/>
            <w:shd w:val="clear" w:color="auto" w:fill="auto"/>
          </w:tcPr>
          <w:p w14:paraId="4B353D42" w14:textId="6E5FB2EA" w:rsidR="00BA7B22" w:rsidRPr="00B672CA" w:rsidRDefault="00BA7B22" w:rsidP="00371C61">
            <w:pPr>
              <w:pStyle w:val="Tabletext"/>
            </w:pPr>
            <w:r w:rsidRPr="00B672CA">
              <w:t>Programme to channel long-term and concessional finance (through a BNP Paribas credit facility) for rural renewable energy production and sustainable landscape management. MoU between IDH and TLFF was signed in Marrakech, November 2016. Further</w:t>
            </w:r>
            <w:r w:rsidR="00E2209F" w:rsidRPr="00B672CA">
              <w:t>,</w:t>
            </w:r>
            <w:r w:rsidRPr="00B672CA">
              <w:t xml:space="preserve"> a MOU between UN Environment and IDH was signed in June 2017. </w:t>
            </w:r>
          </w:p>
        </w:tc>
        <w:tc>
          <w:tcPr>
            <w:tcW w:w="3960" w:type="dxa"/>
            <w:shd w:val="clear" w:color="auto" w:fill="auto"/>
          </w:tcPr>
          <w:p w14:paraId="547BFC8B" w14:textId="77777777" w:rsidR="00BA7B22" w:rsidRPr="00B672CA" w:rsidRDefault="00BA7B22" w:rsidP="00371C61">
            <w:pPr>
              <w:pStyle w:val="Tabletext"/>
            </w:pPr>
            <w:r w:rsidRPr="00B672CA">
              <w:t>Potential co-investor</w:t>
            </w:r>
          </w:p>
        </w:tc>
      </w:tr>
      <w:tr w:rsidR="00E2209F" w:rsidRPr="00B672CA" w14:paraId="0877EB5D" w14:textId="77777777" w:rsidTr="00DE1086">
        <w:tc>
          <w:tcPr>
            <w:tcW w:w="10829" w:type="dxa"/>
            <w:gridSpan w:val="3"/>
            <w:shd w:val="clear" w:color="auto" w:fill="DEEAF6" w:themeFill="accent1" w:themeFillTint="33"/>
          </w:tcPr>
          <w:p w14:paraId="502DCF56" w14:textId="1918BA5E" w:rsidR="00E2209F" w:rsidRPr="00B672CA" w:rsidRDefault="00E2209F" w:rsidP="00371C61">
            <w:pPr>
              <w:pStyle w:val="Tabletext"/>
            </w:pPr>
            <w:r w:rsidRPr="00B672CA">
              <w:t>Beneficiaries/ clients</w:t>
            </w:r>
            <w:r w:rsidRPr="00B672CA">
              <w:rPr>
                <w:rStyle w:val="FootnoteReference"/>
                <w:lang w:val="en-US"/>
              </w:rPr>
              <w:footnoteReference w:id="39"/>
            </w:r>
            <w:r w:rsidRPr="00B672CA">
              <w:t xml:space="preserve"> (Indonesia):</w:t>
            </w:r>
          </w:p>
        </w:tc>
      </w:tr>
      <w:tr w:rsidR="00BA7B22" w:rsidRPr="00B672CA" w14:paraId="2F68826A" w14:textId="77777777" w:rsidTr="00E2209F">
        <w:tc>
          <w:tcPr>
            <w:tcW w:w="2493" w:type="dxa"/>
            <w:shd w:val="clear" w:color="auto" w:fill="auto"/>
          </w:tcPr>
          <w:p w14:paraId="7B8D0F72" w14:textId="77777777" w:rsidR="00BA7B22" w:rsidRPr="00B672CA" w:rsidRDefault="00BA7B22" w:rsidP="00371C61">
            <w:pPr>
              <w:pStyle w:val="Tabletext"/>
            </w:pPr>
            <w:r w:rsidRPr="00B672CA">
              <w:t>Asia Pulp and Paper (APP)</w:t>
            </w:r>
          </w:p>
        </w:tc>
        <w:tc>
          <w:tcPr>
            <w:tcW w:w="4376" w:type="dxa"/>
            <w:shd w:val="clear" w:color="auto" w:fill="auto"/>
          </w:tcPr>
          <w:p w14:paraId="6D967F3F"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419C9763" w14:textId="77777777" w:rsidR="00BA7B22" w:rsidRPr="00B672CA" w:rsidRDefault="00BA7B22" w:rsidP="00371C61">
            <w:pPr>
              <w:pStyle w:val="Tabletext"/>
            </w:pPr>
            <w:r w:rsidRPr="00B672CA">
              <w:t>Potential investee, also with its third party suppliers</w:t>
            </w:r>
          </w:p>
        </w:tc>
      </w:tr>
      <w:tr w:rsidR="00BA7B22" w:rsidRPr="00B672CA" w14:paraId="0EE8498E" w14:textId="77777777" w:rsidTr="00E2209F">
        <w:tc>
          <w:tcPr>
            <w:tcW w:w="2493" w:type="dxa"/>
            <w:shd w:val="clear" w:color="auto" w:fill="auto"/>
          </w:tcPr>
          <w:p w14:paraId="575FE0FE" w14:textId="77777777" w:rsidR="00BA7B22" w:rsidRPr="00B672CA" w:rsidRDefault="00BA7B22" w:rsidP="00371C61">
            <w:pPr>
              <w:pStyle w:val="Tabletext"/>
            </w:pPr>
            <w:r w:rsidRPr="00B672CA">
              <w:t>Golden Agri Resources (GAR)</w:t>
            </w:r>
          </w:p>
        </w:tc>
        <w:tc>
          <w:tcPr>
            <w:tcW w:w="4376" w:type="dxa"/>
            <w:shd w:val="clear" w:color="auto" w:fill="auto"/>
          </w:tcPr>
          <w:p w14:paraId="14474ADD"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0E0FCAEB" w14:textId="77777777" w:rsidR="00BA7B22" w:rsidRPr="00B672CA" w:rsidRDefault="00BA7B22" w:rsidP="00371C61">
            <w:pPr>
              <w:pStyle w:val="Tabletext"/>
            </w:pPr>
            <w:r w:rsidRPr="00B672CA">
              <w:t>Potential investee, also with its third party suppliers</w:t>
            </w:r>
          </w:p>
        </w:tc>
      </w:tr>
      <w:tr w:rsidR="00BA7B22" w:rsidRPr="00B672CA" w14:paraId="7EE16501" w14:textId="77777777" w:rsidTr="00E2209F">
        <w:tc>
          <w:tcPr>
            <w:tcW w:w="2493" w:type="dxa"/>
            <w:shd w:val="clear" w:color="auto" w:fill="auto"/>
          </w:tcPr>
          <w:p w14:paraId="005A7833" w14:textId="77777777" w:rsidR="00BA7B22" w:rsidRPr="008C0BB8" w:rsidRDefault="00BA7B22" w:rsidP="00371C61">
            <w:pPr>
              <w:pStyle w:val="Tabletext"/>
              <w:rPr>
                <w:lang w:val="fr-CH"/>
              </w:rPr>
            </w:pPr>
            <w:r w:rsidRPr="008C0BB8">
              <w:rPr>
                <w:shd w:val="clear" w:color="auto" w:fill="FFFFFF"/>
                <w:lang w:val="fr-CH"/>
              </w:rPr>
              <w:t>PT. Putraalinson Perkasa</w:t>
            </w:r>
            <w:r w:rsidRPr="008C0BB8">
              <w:rPr>
                <w:lang w:val="fr-CH"/>
              </w:rPr>
              <w:t xml:space="preserve"> (PT. PAS)</w:t>
            </w:r>
          </w:p>
        </w:tc>
        <w:tc>
          <w:tcPr>
            <w:tcW w:w="4376" w:type="dxa"/>
            <w:shd w:val="clear" w:color="auto" w:fill="auto"/>
          </w:tcPr>
          <w:p w14:paraId="29C1E511"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0E7D7AEC" w14:textId="77777777" w:rsidR="00BA7B22" w:rsidRPr="00B672CA" w:rsidRDefault="00BA7B22" w:rsidP="00371C61">
            <w:pPr>
              <w:pStyle w:val="Tabletext"/>
            </w:pPr>
            <w:r w:rsidRPr="00B672CA">
              <w:t>Potential investee</w:t>
            </w:r>
          </w:p>
        </w:tc>
      </w:tr>
      <w:tr w:rsidR="00BA7B22" w:rsidRPr="00B672CA" w14:paraId="72A20C6B" w14:textId="77777777" w:rsidTr="00E2209F">
        <w:tc>
          <w:tcPr>
            <w:tcW w:w="2493" w:type="dxa"/>
            <w:shd w:val="clear" w:color="auto" w:fill="auto"/>
          </w:tcPr>
          <w:p w14:paraId="27ECDD30" w14:textId="77777777" w:rsidR="00BA7B22" w:rsidRPr="00B672CA" w:rsidRDefault="00BA7B22" w:rsidP="00371C61">
            <w:pPr>
              <w:pStyle w:val="Tabletext"/>
            </w:pPr>
            <w:r w:rsidRPr="00B672CA">
              <w:t xml:space="preserve">ANJ Agri </w:t>
            </w:r>
          </w:p>
        </w:tc>
        <w:tc>
          <w:tcPr>
            <w:tcW w:w="4376" w:type="dxa"/>
            <w:shd w:val="clear" w:color="auto" w:fill="auto"/>
          </w:tcPr>
          <w:p w14:paraId="44EE3DCC"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02C5A044" w14:textId="77777777" w:rsidR="00BA7B22" w:rsidRPr="00B672CA" w:rsidRDefault="00BA7B22" w:rsidP="00371C61">
            <w:pPr>
              <w:pStyle w:val="Tabletext"/>
            </w:pPr>
            <w:r w:rsidRPr="00B672CA">
              <w:t>Potential investee, also with its third party suppliers</w:t>
            </w:r>
          </w:p>
        </w:tc>
      </w:tr>
      <w:tr w:rsidR="00BA7B22" w:rsidRPr="00B672CA" w14:paraId="58DC2B2A" w14:textId="77777777" w:rsidTr="00E2209F">
        <w:tc>
          <w:tcPr>
            <w:tcW w:w="2493" w:type="dxa"/>
            <w:shd w:val="clear" w:color="auto" w:fill="auto"/>
          </w:tcPr>
          <w:p w14:paraId="4DC35C29" w14:textId="77777777" w:rsidR="00BA7B22" w:rsidRPr="00B672CA" w:rsidRDefault="00BA7B22" w:rsidP="00371C61">
            <w:pPr>
              <w:pStyle w:val="Tabletext"/>
            </w:pPr>
            <w:r w:rsidRPr="00B672CA">
              <w:t>Bumitama</w:t>
            </w:r>
          </w:p>
        </w:tc>
        <w:tc>
          <w:tcPr>
            <w:tcW w:w="4376" w:type="dxa"/>
            <w:shd w:val="clear" w:color="auto" w:fill="auto"/>
          </w:tcPr>
          <w:p w14:paraId="5AB3620A"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2EC50EF9" w14:textId="77777777" w:rsidR="00BA7B22" w:rsidRPr="00B672CA" w:rsidRDefault="00BA7B22" w:rsidP="00371C61">
            <w:pPr>
              <w:pStyle w:val="Tabletext"/>
            </w:pPr>
            <w:r w:rsidRPr="00B672CA">
              <w:t>Potential investee, also with its third party suppliers</w:t>
            </w:r>
          </w:p>
        </w:tc>
      </w:tr>
      <w:tr w:rsidR="00BA7B22" w:rsidRPr="00B672CA" w14:paraId="4C5622B0" w14:textId="77777777" w:rsidTr="00E2209F">
        <w:tc>
          <w:tcPr>
            <w:tcW w:w="2493" w:type="dxa"/>
            <w:shd w:val="clear" w:color="auto" w:fill="auto"/>
          </w:tcPr>
          <w:p w14:paraId="1170D9C1" w14:textId="77777777" w:rsidR="00BA7B22" w:rsidRPr="00B672CA" w:rsidRDefault="00BA7B22" w:rsidP="00371C61">
            <w:pPr>
              <w:pStyle w:val="Tabletext"/>
            </w:pPr>
            <w:r w:rsidRPr="00B672CA">
              <w:t>Hindoli</w:t>
            </w:r>
          </w:p>
        </w:tc>
        <w:tc>
          <w:tcPr>
            <w:tcW w:w="4376" w:type="dxa"/>
            <w:shd w:val="clear" w:color="auto" w:fill="auto"/>
          </w:tcPr>
          <w:p w14:paraId="315E7F61"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114983E8" w14:textId="77777777" w:rsidR="00BA7B22" w:rsidRPr="00B672CA" w:rsidRDefault="00BA7B22" w:rsidP="00371C61">
            <w:pPr>
              <w:pStyle w:val="Tabletext"/>
            </w:pPr>
            <w:r w:rsidRPr="00B672CA">
              <w:t>Potential investee, also with its third party suppliers</w:t>
            </w:r>
          </w:p>
        </w:tc>
      </w:tr>
      <w:tr w:rsidR="00BA7B22" w:rsidRPr="00B672CA" w14:paraId="5EE6313B" w14:textId="77777777" w:rsidTr="00E2209F">
        <w:tc>
          <w:tcPr>
            <w:tcW w:w="2493" w:type="dxa"/>
            <w:shd w:val="clear" w:color="auto" w:fill="auto"/>
          </w:tcPr>
          <w:p w14:paraId="1F7D97C0" w14:textId="77777777" w:rsidR="00BA7B22" w:rsidRPr="00B672CA" w:rsidRDefault="00BA7B22" w:rsidP="00371C61">
            <w:pPr>
              <w:pStyle w:val="Tabletext"/>
            </w:pPr>
            <w:r w:rsidRPr="00B672CA">
              <w:t>Sinar Mas</w:t>
            </w:r>
          </w:p>
        </w:tc>
        <w:tc>
          <w:tcPr>
            <w:tcW w:w="4376" w:type="dxa"/>
            <w:shd w:val="clear" w:color="auto" w:fill="auto"/>
          </w:tcPr>
          <w:p w14:paraId="3033641D"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3E946B53" w14:textId="77777777" w:rsidR="00BA7B22" w:rsidRPr="00B672CA" w:rsidRDefault="00BA7B22" w:rsidP="00371C61">
            <w:pPr>
              <w:pStyle w:val="Tabletext"/>
            </w:pPr>
            <w:r w:rsidRPr="00B672CA">
              <w:t>Potential investee, also with its third party suppliers</w:t>
            </w:r>
          </w:p>
        </w:tc>
      </w:tr>
      <w:tr w:rsidR="00BA7B22" w:rsidRPr="00B672CA" w14:paraId="7C9682A7" w14:textId="77777777" w:rsidTr="00E2209F">
        <w:tc>
          <w:tcPr>
            <w:tcW w:w="2493" w:type="dxa"/>
            <w:shd w:val="clear" w:color="auto" w:fill="auto"/>
          </w:tcPr>
          <w:p w14:paraId="3FFB9BB8" w14:textId="77777777" w:rsidR="00BA7B22" w:rsidRPr="00B672CA" w:rsidRDefault="00BA7B22" w:rsidP="00371C61">
            <w:pPr>
              <w:pStyle w:val="Tabletext"/>
            </w:pPr>
            <w:r w:rsidRPr="00B672CA">
              <w:t>Wilmar</w:t>
            </w:r>
          </w:p>
        </w:tc>
        <w:tc>
          <w:tcPr>
            <w:tcW w:w="4376" w:type="dxa"/>
            <w:shd w:val="clear" w:color="auto" w:fill="auto"/>
          </w:tcPr>
          <w:p w14:paraId="3291C247"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1CD6EEDE" w14:textId="77777777" w:rsidR="00BA7B22" w:rsidRPr="00B672CA" w:rsidRDefault="00BA7B22" w:rsidP="00371C61">
            <w:pPr>
              <w:pStyle w:val="Tabletext"/>
            </w:pPr>
            <w:r w:rsidRPr="00B672CA">
              <w:t>Potential investee, also with its third party suppliers</w:t>
            </w:r>
          </w:p>
        </w:tc>
      </w:tr>
      <w:tr w:rsidR="00E2209F" w:rsidRPr="00B672CA" w14:paraId="499999ED" w14:textId="77777777" w:rsidTr="00DE1086">
        <w:tc>
          <w:tcPr>
            <w:tcW w:w="10829" w:type="dxa"/>
            <w:gridSpan w:val="3"/>
            <w:shd w:val="clear" w:color="auto" w:fill="DEEAF6" w:themeFill="accent1" w:themeFillTint="33"/>
          </w:tcPr>
          <w:p w14:paraId="173439C9" w14:textId="6C44A387" w:rsidR="00E2209F" w:rsidRPr="00B672CA" w:rsidRDefault="00E2209F" w:rsidP="00371C61">
            <w:pPr>
              <w:pStyle w:val="Tabletext"/>
            </w:pPr>
            <w:r w:rsidRPr="00B672CA">
              <w:t>Beneficiaries/ clients (Brazil):</w:t>
            </w:r>
          </w:p>
        </w:tc>
      </w:tr>
      <w:tr w:rsidR="00BA7B22" w:rsidRPr="00B672CA" w14:paraId="721EFB27" w14:textId="77777777" w:rsidTr="00E2209F">
        <w:tc>
          <w:tcPr>
            <w:tcW w:w="2493" w:type="dxa"/>
            <w:shd w:val="clear" w:color="auto" w:fill="auto"/>
          </w:tcPr>
          <w:p w14:paraId="24B304FF" w14:textId="77777777" w:rsidR="00BA7B22" w:rsidRPr="00B672CA" w:rsidRDefault="00BA7B22" w:rsidP="00371C61">
            <w:pPr>
              <w:pStyle w:val="Tabletext"/>
            </w:pPr>
            <w:r w:rsidRPr="00B672CA">
              <w:t>Amaggi</w:t>
            </w:r>
          </w:p>
        </w:tc>
        <w:tc>
          <w:tcPr>
            <w:tcW w:w="4376" w:type="dxa"/>
            <w:shd w:val="clear" w:color="auto" w:fill="auto"/>
          </w:tcPr>
          <w:p w14:paraId="02D373B2"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050A2AF7" w14:textId="77777777" w:rsidR="00BA7B22" w:rsidRPr="00B672CA" w:rsidRDefault="00BA7B22" w:rsidP="00371C61">
            <w:pPr>
              <w:pStyle w:val="Tabletext"/>
            </w:pPr>
            <w:r w:rsidRPr="00B672CA">
              <w:t>Potential investee, also with its third party suppliers</w:t>
            </w:r>
          </w:p>
        </w:tc>
      </w:tr>
      <w:tr w:rsidR="00BA7B22" w:rsidRPr="00B672CA" w14:paraId="105E9C1F" w14:textId="77777777" w:rsidTr="00E2209F">
        <w:tc>
          <w:tcPr>
            <w:tcW w:w="2493" w:type="dxa"/>
            <w:shd w:val="clear" w:color="auto" w:fill="auto"/>
          </w:tcPr>
          <w:p w14:paraId="29960B8F" w14:textId="77777777" w:rsidR="00BA7B22" w:rsidRPr="00B672CA" w:rsidRDefault="00BA7B22" w:rsidP="00371C61">
            <w:pPr>
              <w:pStyle w:val="Tabletext"/>
            </w:pPr>
            <w:r w:rsidRPr="00B672CA">
              <w:t>MARFRIG</w:t>
            </w:r>
          </w:p>
        </w:tc>
        <w:tc>
          <w:tcPr>
            <w:tcW w:w="4376" w:type="dxa"/>
            <w:shd w:val="clear" w:color="auto" w:fill="auto"/>
          </w:tcPr>
          <w:p w14:paraId="7C463600" w14:textId="77777777" w:rsidR="00BA7B22" w:rsidRPr="00B672CA" w:rsidRDefault="00BA7B22" w:rsidP="00371C61">
            <w:pPr>
              <w:pStyle w:val="Tabletext"/>
            </w:pPr>
            <w:r w:rsidRPr="00B672CA">
              <w:t>Supply chain company in need of investment in sustainable land management throughout the supply chain</w:t>
            </w:r>
          </w:p>
        </w:tc>
        <w:tc>
          <w:tcPr>
            <w:tcW w:w="3960" w:type="dxa"/>
            <w:shd w:val="clear" w:color="auto" w:fill="auto"/>
          </w:tcPr>
          <w:p w14:paraId="2C92A206" w14:textId="77777777" w:rsidR="00BA7B22" w:rsidRPr="00B672CA" w:rsidRDefault="00BA7B22" w:rsidP="00371C61">
            <w:pPr>
              <w:pStyle w:val="Tabletext"/>
            </w:pPr>
            <w:r w:rsidRPr="00B672CA">
              <w:t>Potential investee, with its third party suppliers</w:t>
            </w:r>
          </w:p>
        </w:tc>
      </w:tr>
      <w:tr w:rsidR="00BA7B22" w:rsidRPr="00B672CA" w14:paraId="023F9E1E" w14:textId="77777777" w:rsidTr="00E2209F">
        <w:tc>
          <w:tcPr>
            <w:tcW w:w="2493" w:type="dxa"/>
            <w:shd w:val="clear" w:color="auto" w:fill="auto"/>
          </w:tcPr>
          <w:p w14:paraId="1897FFDF" w14:textId="77777777" w:rsidR="00BA7B22" w:rsidRPr="00B672CA" w:rsidRDefault="00BA7B22" w:rsidP="00371C61">
            <w:pPr>
              <w:pStyle w:val="Tabletext"/>
            </w:pPr>
            <w:r w:rsidRPr="00B672CA">
              <w:t>Grupo Roncador</w:t>
            </w:r>
          </w:p>
        </w:tc>
        <w:tc>
          <w:tcPr>
            <w:tcW w:w="4376" w:type="dxa"/>
            <w:shd w:val="clear" w:color="auto" w:fill="auto"/>
          </w:tcPr>
          <w:p w14:paraId="1A3FC0BE"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1AD1EB61" w14:textId="77777777" w:rsidR="00BA7B22" w:rsidRPr="00B672CA" w:rsidRDefault="00BA7B22" w:rsidP="00371C61">
            <w:pPr>
              <w:pStyle w:val="Tabletext"/>
            </w:pPr>
            <w:r w:rsidRPr="00B672CA">
              <w:t>Potential investee, also with its third party suppliers</w:t>
            </w:r>
          </w:p>
        </w:tc>
      </w:tr>
      <w:tr w:rsidR="00E2209F" w:rsidRPr="00B672CA" w14:paraId="5FD67434" w14:textId="77777777" w:rsidTr="00DE1086">
        <w:tc>
          <w:tcPr>
            <w:tcW w:w="10829" w:type="dxa"/>
            <w:gridSpan w:val="3"/>
            <w:shd w:val="clear" w:color="auto" w:fill="DEEAF6" w:themeFill="accent1" w:themeFillTint="33"/>
          </w:tcPr>
          <w:p w14:paraId="68715BAA" w14:textId="534A059A" w:rsidR="00E2209F" w:rsidRPr="00B672CA" w:rsidRDefault="00E2209F" w:rsidP="00371C61">
            <w:pPr>
              <w:pStyle w:val="Tabletext"/>
            </w:pPr>
            <w:r w:rsidRPr="00B672CA">
              <w:t>Beneficiaries/ clients (Liberia):</w:t>
            </w:r>
          </w:p>
        </w:tc>
      </w:tr>
      <w:tr w:rsidR="00BA7B22" w:rsidRPr="00B672CA" w14:paraId="2D4C1053" w14:textId="77777777" w:rsidTr="00E2209F">
        <w:tc>
          <w:tcPr>
            <w:tcW w:w="2493" w:type="dxa"/>
            <w:shd w:val="clear" w:color="auto" w:fill="auto"/>
          </w:tcPr>
          <w:p w14:paraId="4134DADD" w14:textId="77777777" w:rsidR="00BA7B22" w:rsidRPr="00B672CA" w:rsidRDefault="00BA7B22" w:rsidP="00371C61">
            <w:pPr>
              <w:pStyle w:val="Tabletext"/>
            </w:pPr>
            <w:r w:rsidRPr="00B672CA">
              <w:t>Golden Veroleum Liberia (GVL)</w:t>
            </w:r>
          </w:p>
        </w:tc>
        <w:tc>
          <w:tcPr>
            <w:tcW w:w="4376" w:type="dxa"/>
            <w:shd w:val="clear" w:color="auto" w:fill="auto"/>
          </w:tcPr>
          <w:p w14:paraId="23BD2050"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298D503D" w14:textId="77777777" w:rsidR="00BA7B22" w:rsidRPr="00B672CA" w:rsidRDefault="00BA7B22" w:rsidP="00371C61">
            <w:pPr>
              <w:pStyle w:val="Tabletext"/>
            </w:pPr>
            <w:r w:rsidRPr="00B672CA">
              <w:t>Potential investee</w:t>
            </w:r>
          </w:p>
        </w:tc>
      </w:tr>
      <w:tr w:rsidR="00BA7B22" w:rsidRPr="00B672CA" w14:paraId="4287D123" w14:textId="77777777" w:rsidTr="00E2209F">
        <w:tc>
          <w:tcPr>
            <w:tcW w:w="2493" w:type="dxa"/>
            <w:shd w:val="clear" w:color="auto" w:fill="auto"/>
          </w:tcPr>
          <w:p w14:paraId="5A1B03A9" w14:textId="77777777" w:rsidR="00BA7B22" w:rsidRPr="00B672CA" w:rsidRDefault="00BA7B22" w:rsidP="00371C61">
            <w:pPr>
              <w:pStyle w:val="Tabletext"/>
            </w:pPr>
            <w:r w:rsidRPr="00B672CA">
              <w:t>Sime Darby Plantation (Liberia) Inc. (SDPL)</w:t>
            </w:r>
          </w:p>
        </w:tc>
        <w:tc>
          <w:tcPr>
            <w:tcW w:w="4376" w:type="dxa"/>
            <w:shd w:val="clear" w:color="auto" w:fill="auto"/>
          </w:tcPr>
          <w:p w14:paraId="59685D7C"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13D737E4" w14:textId="77777777" w:rsidR="00BA7B22" w:rsidRPr="00B672CA" w:rsidRDefault="00BA7B22" w:rsidP="00371C61">
            <w:pPr>
              <w:pStyle w:val="Tabletext"/>
            </w:pPr>
            <w:r w:rsidRPr="00B672CA">
              <w:t>Potential investee</w:t>
            </w:r>
          </w:p>
        </w:tc>
      </w:tr>
      <w:tr w:rsidR="00BA7B22" w:rsidRPr="00B672CA" w14:paraId="67EF6628" w14:textId="77777777" w:rsidTr="00E2209F">
        <w:tc>
          <w:tcPr>
            <w:tcW w:w="2493" w:type="dxa"/>
            <w:shd w:val="clear" w:color="auto" w:fill="auto"/>
          </w:tcPr>
          <w:p w14:paraId="6F6F051A" w14:textId="77777777" w:rsidR="00BA7B22" w:rsidRPr="00B672CA" w:rsidRDefault="00BA7B22" w:rsidP="00371C61">
            <w:pPr>
              <w:pStyle w:val="Tabletext"/>
            </w:pPr>
            <w:r w:rsidRPr="00B672CA">
              <w:t>Equatorial Palm Oil plc (EPO)</w:t>
            </w:r>
          </w:p>
        </w:tc>
        <w:tc>
          <w:tcPr>
            <w:tcW w:w="4376" w:type="dxa"/>
            <w:shd w:val="clear" w:color="auto" w:fill="auto"/>
          </w:tcPr>
          <w:p w14:paraId="1123AB09"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20654406" w14:textId="77777777" w:rsidR="00BA7B22" w:rsidRPr="00B672CA" w:rsidRDefault="00BA7B22" w:rsidP="00371C61">
            <w:pPr>
              <w:pStyle w:val="Tabletext"/>
            </w:pPr>
            <w:r w:rsidRPr="00B672CA">
              <w:t>Potential investee</w:t>
            </w:r>
          </w:p>
        </w:tc>
      </w:tr>
      <w:tr w:rsidR="00BA7B22" w:rsidRPr="00B672CA" w14:paraId="03646685" w14:textId="77777777" w:rsidTr="00E2209F">
        <w:tc>
          <w:tcPr>
            <w:tcW w:w="2493" w:type="dxa"/>
            <w:shd w:val="clear" w:color="auto" w:fill="auto"/>
          </w:tcPr>
          <w:p w14:paraId="662EED69" w14:textId="77777777" w:rsidR="00BA7B22" w:rsidRPr="00B672CA" w:rsidRDefault="00BA7B22" w:rsidP="00371C61">
            <w:pPr>
              <w:pStyle w:val="Tabletext"/>
            </w:pPr>
            <w:r w:rsidRPr="00B672CA">
              <w:t>Maryland Oil Palm Plantation (MOPP)</w:t>
            </w:r>
          </w:p>
        </w:tc>
        <w:tc>
          <w:tcPr>
            <w:tcW w:w="4376" w:type="dxa"/>
            <w:shd w:val="clear" w:color="auto" w:fill="auto"/>
          </w:tcPr>
          <w:p w14:paraId="3156D007" w14:textId="77777777" w:rsidR="00BA7B22" w:rsidRPr="00B672CA" w:rsidRDefault="00BA7B22" w:rsidP="00371C61">
            <w:pPr>
              <w:pStyle w:val="Tabletext"/>
            </w:pPr>
            <w:r w:rsidRPr="00B672CA">
              <w:t>Land owner in need of investment in sustainable land management throughout the supply chain</w:t>
            </w:r>
          </w:p>
        </w:tc>
        <w:tc>
          <w:tcPr>
            <w:tcW w:w="3960" w:type="dxa"/>
            <w:shd w:val="clear" w:color="auto" w:fill="auto"/>
          </w:tcPr>
          <w:p w14:paraId="6A77722F" w14:textId="77777777" w:rsidR="00BA7B22" w:rsidRPr="00B672CA" w:rsidRDefault="00BA7B22" w:rsidP="00371C61">
            <w:pPr>
              <w:pStyle w:val="Tabletext"/>
            </w:pPr>
            <w:r w:rsidRPr="00B672CA">
              <w:t>Potential investee</w:t>
            </w:r>
          </w:p>
        </w:tc>
      </w:tr>
    </w:tbl>
    <w:p w14:paraId="7079115F" w14:textId="77777777" w:rsidR="00D25D40" w:rsidRPr="00B672CA" w:rsidRDefault="00D25D40" w:rsidP="00DE1086">
      <w:pPr>
        <w:pStyle w:val="Heading1"/>
        <w:rPr>
          <w:lang w:val="en-US"/>
        </w:rPr>
      </w:pPr>
      <w:r w:rsidRPr="00B672CA">
        <w:rPr>
          <w:lang w:val="en-US"/>
        </w:rPr>
        <w:t>A.4. Gender Equality and Women's Empowerment</w:t>
      </w:r>
    </w:p>
    <w:p w14:paraId="6F9C58F7" w14:textId="77777777" w:rsidR="00D25D40" w:rsidRPr="00B672CA" w:rsidRDefault="00D25D40" w:rsidP="00D25D40">
      <w:pPr>
        <w:pStyle w:val="Heading3"/>
        <w:rPr>
          <w:sz w:val="24"/>
          <w:lang w:val="en-US"/>
        </w:rPr>
      </w:pPr>
      <w:r w:rsidRPr="00B672CA">
        <w:rPr>
          <w:rFonts w:eastAsia="MS Mincho"/>
          <w:lang w:val="en-US"/>
        </w:rPr>
        <w:t xml:space="preserve">Elaborate on how gender equality and women’s empowerment issues are mainstreamed into the project implementation and monitoring, taking into account the differences, needs, roles and priorities of women and men.  In addition, 1) did the project conduct a gender analysis during project preparation </w:t>
      </w:r>
      <w:r w:rsidRPr="00B672CA">
        <w:rPr>
          <w:lang w:val="en-US"/>
        </w:rPr>
        <w:t xml:space="preserve">(yes </w:t>
      </w:r>
      <w:r w:rsidRPr="00B672CA">
        <w:rPr>
          <w:lang w:val="en-US"/>
        </w:rPr>
        <w:fldChar w:fldCharType="begin">
          <w:ffData>
            <w:name w:val="incl_civil_yes"/>
            <w:enabled/>
            <w:calcOnExit w:val="0"/>
            <w:checkBox>
              <w:sizeAuto/>
              <w:default w:val="0"/>
              <w:checked/>
            </w:checkBox>
          </w:ffData>
        </w:fldChar>
      </w:r>
      <w:r w:rsidRPr="00B672CA">
        <w:rPr>
          <w:lang w:val="en-US"/>
        </w:rPr>
        <w:instrText xml:space="preserve"> FORMCHECKBOX </w:instrText>
      </w:r>
      <w:r w:rsidR="0004701D">
        <w:rPr>
          <w:lang w:val="en-US"/>
        </w:rPr>
      </w:r>
      <w:r w:rsidR="0004701D">
        <w:rPr>
          <w:lang w:val="en-US"/>
        </w:rPr>
        <w:fldChar w:fldCharType="separate"/>
      </w:r>
      <w:r w:rsidRPr="00B672CA">
        <w:rPr>
          <w:lang w:val="en-US"/>
        </w:rPr>
        <w:fldChar w:fldCharType="end"/>
      </w:r>
      <w:r w:rsidRPr="00B672CA">
        <w:rPr>
          <w:lang w:val="en-US"/>
        </w:rPr>
        <w:t xml:space="preserve"> /no</w:t>
      </w:r>
      <w:r w:rsidRPr="00B672CA">
        <w:rPr>
          <w:lang w:val="en-US"/>
        </w:rPr>
        <w:fldChar w:fldCharType="begin">
          <w:ffData>
            <w:name w:val="incl_civil_no"/>
            <w:enabled/>
            <w:calcOnExit w:val="0"/>
            <w:checkBox>
              <w:sizeAuto/>
              <w:default w:val="0"/>
            </w:checkBox>
          </w:ffData>
        </w:fldChar>
      </w:r>
      <w:r w:rsidRPr="00B672CA">
        <w:rPr>
          <w:lang w:val="en-US"/>
        </w:rPr>
        <w:instrText xml:space="preserve"> FORMCHECKBOX </w:instrText>
      </w:r>
      <w:r w:rsidR="0004701D">
        <w:rPr>
          <w:lang w:val="en-US"/>
        </w:rPr>
      </w:r>
      <w:r w:rsidR="0004701D">
        <w:rPr>
          <w:lang w:val="en-US"/>
        </w:rPr>
        <w:fldChar w:fldCharType="separate"/>
      </w:r>
      <w:r w:rsidRPr="00B672CA">
        <w:rPr>
          <w:lang w:val="en-US"/>
        </w:rPr>
        <w:fldChar w:fldCharType="end"/>
      </w:r>
      <w:r w:rsidRPr="00B672CA">
        <w:rPr>
          <w:lang w:val="en-US"/>
        </w:rPr>
        <w:t>)?</w:t>
      </w:r>
      <w:r w:rsidRPr="00B672CA">
        <w:rPr>
          <w:rFonts w:eastAsia="MS Mincho"/>
          <w:lang w:val="en-US"/>
        </w:rPr>
        <w:t xml:space="preserve">; 2) did the project incorporate a gender responsive project results framework, including sex-disaggregated indicators </w:t>
      </w:r>
      <w:r w:rsidRPr="00B672CA">
        <w:rPr>
          <w:lang w:val="en-US"/>
        </w:rPr>
        <w:t xml:space="preserve">(yes </w:t>
      </w:r>
      <w:r w:rsidRPr="00B672CA">
        <w:rPr>
          <w:lang w:val="en-US"/>
        </w:rPr>
        <w:fldChar w:fldCharType="begin">
          <w:ffData>
            <w:name w:val="incl_civil_yes"/>
            <w:enabled/>
            <w:calcOnExit w:val="0"/>
            <w:checkBox>
              <w:sizeAuto/>
              <w:default w:val="0"/>
              <w:checked/>
            </w:checkBox>
          </w:ffData>
        </w:fldChar>
      </w:r>
      <w:r w:rsidRPr="00B672CA">
        <w:rPr>
          <w:lang w:val="en-US"/>
        </w:rPr>
        <w:instrText xml:space="preserve"> FORMCHECKBOX </w:instrText>
      </w:r>
      <w:r w:rsidR="0004701D">
        <w:rPr>
          <w:lang w:val="en-US"/>
        </w:rPr>
      </w:r>
      <w:r w:rsidR="0004701D">
        <w:rPr>
          <w:lang w:val="en-US"/>
        </w:rPr>
        <w:fldChar w:fldCharType="separate"/>
      </w:r>
      <w:r w:rsidRPr="00B672CA">
        <w:rPr>
          <w:lang w:val="en-US"/>
        </w:rPr>
        <w:fldChar w:fldCharType="end"/>
      </w:r>
      <w:r w:rsidRPr="00B672CA">
        <w:rPr>
          <w:lang w:val="en-US"/>
        </w:rPr>
        <w:t xml:space="preserve"> /no</w:t>
      </w:r>
      <w:r w:rsidRPr="00B672CA">
        <w:rPr>
          <w:lang w:val="en-US"/>
        </w:rPr>
        <w:fldChar w:fldCharType="begin">
          <w:ffData>
            <w:name w:val="incl_civil_no"/>
            <w:enabled/>
            <w:calcOnExit w:val="0"/>
            <w:checkBox>
              <w:sizeAuto/>
              <w:default w:val="0"/>
            </w:checkBox>
          </w:ffData>
        </w:fldChar>
      </w:r>
      <w:r w:rsidRPr="00B672CA">
        <w:rPr>
          <w:lang w:val="en-US"/>
        </w:rPr>
        <w:instrText xml:space="preserve"> FORMCHECKBOX </w:instrText>
      </w:r>
      <w:r w:rsidR="0004701D">
        <w:rPr>
          <w:lang w:val="en-US"/>
        </w:rPr>
      </w:r>
      <w:r w:rsidR="0004701D">
        <w:rPr>
          <w:lang w:val="en-US"/>
        </w:rPr>
        <w:fldChar w:fldCharType="separate"/>
      </w:r>
      <w:r w:rsidRPr="00B672CA">
        <w:rPr>
          <w:lang w:val="en-US"/>
        </w:rPr>
        <w:fldChar w:fldCharType="end"/>
      </w:r>
      <w:r w:rsidRPr="00B672CA">
        <w:rPr>
          <w:lang w:val="en-US"/>
        </w:rPr>
        <w:t>)?</w:t>
      </w:r>
      <w:r w:rsidRPr="00B672CA">
        <w:rPr>
          <w:rFonts w:eastAsia="MS Mincho"/>
          <w:lang w:val="en-US"/>
        </w:rPr>
        <w:t xml:space="preserve">; and 3) what is the share of women and men direct beneficiaries (women X%, men X%)? </w:t>
      </w:r>
      <w:r w:rsidRPr="00B672CA">
        <w:rPr>
          <w:rStyle w:val="FootnoteReference"/>
          <w:rFonts w:eastAsia="MS Mincho"/>
          <w:lang w:val="en-US"/>
        </w:rPr>
        <w:footnoteReference w:id="40"/>
      </w:r>
    </w:p>
    <w:p w14:paraId="5C0DF018" w14:textId="77777777" w:rsidR="00D25D40" w:rsidRPr="00B672CA" w:rsidRDefault="00D25D40" w:rsidP="00B37DAC">
      <w:pPr>
        <w:pStyle w:val="Para"/>
      </w:pPr>
      <w:r w:rsidRPr="00B672CA">
        <w:t>Development implies social change, and social change has gender implications. A program that is concerned with forest protection as well as financial dynamics that can support forest protec</w:t>
      </w:r>
      <w:r w:rsidRPr="00B672CA">
        <w:softHyphen/>
        <w:t>tion is likely to attract technical skill sets from natural sciences as well as from business/ financial backgrounds. However, professionals with these backgrounds are not always well trained on gender, and in an intervention of this nature there is certainly a risk that gender dynamics are dismissed as irrelevant given the forest-related objectives at hand.</w:t>
      </w:r>
    </w:p>
    <w:p w14:paraId="1DC0A602" w14:textId="77777777" w:rsidR="00D25D40" w:rsidRPr="00B672CA" w:rsidRDefault="00D25D40" w:rsidP="00B37DAC">
      <w:pPr>
        <w:pStyle w:val="Para"/>
      </w:pPr>
      <w:r w:rsidRPr="00B672CA">
        <w:t>While forests in and of themselves may be a gender blind eco-system, surrounding agriculture is not gender neutral. Women’s role in agriculture and their vulnerability to the impacts of land degradation are usually neglected. Land degradation affects men and women differently given their differing productive roles. Diminished soil fertility cuts into agricultural production; for additional sources of income young people, especially men, embark on seasonal or permanent migration. This puts a significant burden on women – as labor increases but results in less output because of the declining carrying capacity of the soil. Women also take over roles traditionally handled by men.</w:t>
      </w:r>
    </w:p>
    <w:p w14:paraId="02AD53AD" w14:textId="609E7B91" w:rsidR="00D25D40" w:rsidRPr="00B672CA" w:rsidRDefault="00D25D40" w:rsidP="00B37DAC">
      <w:pPr>
        <w:pStyle w:val="Para"/>
      </w:pPr>
      <w:r w:rsidRPr="00B672CA">
        <w:t>It will, therefore, be an important task for the conveners</w:t>
      </w:r>
      <w:r w:rsidR="002028E4" w:rsidRPr="00B672CA">
        <w:t xml:space="preserve"> in the 7 target landscapes</w:t>
      </w:r>
      <w:r w:rsidRPr="00B672CA">
        <w:t xml:space="preserve"> to engage women as well as men in their discussions. Production-intensification on converted land may have a profound gender implication, depending on who is doing the work of intensification, how salaries are paid -- equally or unequally -- to men and women doing the same job, how working hours will shift or not, and how family life and obligations would be impacted. </w:t>
      </w:r>
    </w:p>
    <w:p w14:paraId="4E6FC91F" w14:textId="471E4CA7" w:rsidR="00D25D40" w:rsidRPr="00B672CA" w:rsidRDefault="00D25D40" w:rsidP="00B37DAC">
      <w:pPr>
        <w:pStyle w:val="Para"/>
      </w:pPr>
      <w:r w:rsidRPr="00B672CA">
        <w:t xml:space="preserve">In the process of small holder engagement, a balanced engagement with both male and female landowners and land-workers will be targeted. Small holder engagement can imply engaging the often male landowner at the expense of the women who are actually doing the farming. While it is beyond the scope of the proposed project to bring local communities to the post-modern world of gender equality, it is critical for conveners to, at a minimum, avoid doing damage by further entrenching gender inequalities. Similarly, it will be important to assure that convening platforms (with local government, private sector, CSOs) have representatives from both genders. During project implementation, impacts on gender equality will be considered and both men and women will be targeted for support, taking into account the social context on the ground. Collaborative management methods will be used as an approach to engage stakeholders as collaborators in the implementation of project activities that take into account gender issues. </w:t>
      </w:r>
      <w:r w:rsidR="000405C3" w:rsidRPr="00B672CA">
        <w:t>The project expects to have an impact on 15,000 households and, on average, it is expected that at least 50% of those involved in and benefitting from the PPI approach will be women (see relevant indicator in project framework</w:t>
      </w:r>
      <w:r w:rsidR="00027009" w:rsidRPr="00B672CA">
        <w:t xml:space="preserve"> in Annex A</w:t>
      </w:r>
      <w:r w:rsidR="000405C3" w:rsidRPr="00B672CA">
        <w:t>).</w:t>
      </w:r>
    </w:p>
    <w:p w14:paraId="318389B9" w14:textId="358728F4" w:rsidR="00D25D40" w:rsidRPr="00B672CA" w:rsidRDefault="00D25D40" w:rsidP="00DE1086">
      <w:pPr>
        <w:pStyle w:val="Heading1"/>
        <w:rPr>
          <w:lang w:val="en-US"/>
        </w:rPr>
      </w:pPr>
      <w:r w:rsidRPr="00B672CA">
        <w:rPr>
          <w:lang w:val="en-US"/>
        </w:rPr>
        <w:t>A.5. Risks</w:t>
      </w:r>
    </w:p>
    <w:p w14:paraId="1E47586C" w14:textId="77777777" w:rsidR="00D25D40" w:rsidRPr="00B672CA" w:rsidRDefault="00D25D40" w:rsidP="00D25D40">
      <w:pPr>
        <w:pStyle w:val="Heading3"/>
        <w:rPr>
          <w:lang w:val="en-US"/>
        </w:rPr>
      </w:pPr>
      <w:r w:rsidRPr="00B672CA">
        <w:rPr>
          <w:lang w:val="en-US"/>
        </w:rPr>
        <w:t xml:space="preserve">Elaborate on indicated risks, including climate change, potential social and environmental risks that might prevent the project objectives from being achieved, and, if possible, the proposed measures that address these risks at the time of project implementation </w:t>
      </w:r>
    </w:p>
    <w:p w14:paraId="3217F563" w14:textId="77777777" w:rsidR="00D25D40" w:rsidRPr="00B672CA" w:rsidRDefault="00D25D40" w:rsidP="00B37DAC">
      <w:pPr>
        <w:pStyle w:val="Para"/>
      </w:pPr>
      <w:r w:rsidRPr="00B672CA">
        <w:rPr>
          <w:bCs/>
        </w:rPr>
        <w:t>T</w:t>
      </w:r>
      <w:r w:rsidRPr="00B672CA">
        <w:t>he risks identified at the time of PIF approval have been validated and re-assessed during the PPG phase and are described below.</w:t>
      </w:r>
    </w:p>
    <w:p w14:paraId="18F68B25" w14:textId="28666CD3" w:rsidR="00137951" w:rsidRPr="00B672CA" w:rsidRDefault="00137951" w:rsidP="00D46460">
      <w:pPr>
        <w:pStyle w:val="Tableheading"/>
      </w:pPr>
      <w:r w:rsidRPr="00B672CA">
        <w:t>Table 3: Risk assessment and mitigation measures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4"/>
        <w:gridCol w:w="851"/>
        <w:gridCol w:w="6024"/>
      </w:tblGrid>
      <w:tr w:rsidR="00D25D40" w:rsidRPr="00B672CA" w14:paraId="183896A6" w14:textId="77777777" w:rsidTr="00696322">
        <w:trPr>
          <w:tblHeader/>
        </w:trPr>
        <w:tc>
          <w:tcPr>
            <w:tcW w:w="3954" w:type="dxa"/>
            <w:shd w:val="clear" w:color="auto" w:fill="D9D9D9"/>
          </w:tcPr>
          <w:p w14:paraId="5C2D9BBF" w14:textId="77777777" w:rsidR="00D25D40" w:rsidRPr="00B672CA" w:rsidRDefault="00D25D40" w:rsidP="00D46460">
            <w:pPr>
              <w:pStyle w:val="Tableheading"/>
              <w:rPr>
                <w:rFonts w:eastAsia="Calibri"/>
              </w:rPr>
            </w:pPr>
            <w:r w:rsidRPr="00B672CA">
              <w:rPr>
                <w:rFonts w:eastAsia="Calibri"/>
              </w:rPr>
              <w:t>Risk</w:t>
            </w:r>
          </w:p>
        </w:tc>
        <w:tc>
          <w:tcPr>
            <w:tcW w:w="851" w:type="dxa"/>
            <w:shd w:val="clear" w:color="auto" w:fill="D9D9D9"/>
          </w:tcPr>
          <w:p w14:paraId="5CBCE4D9" w14:textId="77777777" w:rsidR="00D25D40" w:rsidRPr="00B672CA" w:rsidRDefault="00D25D40" w:rsidP="00D46460">
            <w:pPr>
              <w:pStyle w:val="Tableheading"/>
              <w:rPr>
                <w:rFonts w:eastAsia="Calibri"/>
              </w:rPr>
            </w:pPr>
            <w:r w:rsidRPr="00B672CA">
              <w:rPr>
                <w:rFonts w:eastAsia="Calibri"/>
              </w:rPr>
              <w:t>Impact</w:t>
            </w:r>
          </w:p>
        </w:tc>
        <w:tc>
          <w:tcPr>
            <w:tcW w:w="6024" w:type="dxa"/>
            <w:shd w:val="clear" w:color="auto" w:fill="D9D9D9"/>
          </w:tcPr>
          <w:p w14:paraId="55A43957" w14:textId="77777777" w:rsidR="00D25D40" w:rsidRPr="00B672CA" w:rsidRDefault="00D25D40" w:rsidP="00D46460">
            <w:pPr>
              <w:pStyle w:val="Tableheading"/>
              <w:rPr>
                <w:rFonts w:eastAsia="Calibri"/>
              </w:rPr>
            </w:pPr>
            <w:r w:rsidRPr="00B672CA">
              <w:rPr>
                <w:rFonts w:eastAsia="Calibri"/>
              </w:rPr>
              <w:t>Mitigation Measures</w:t>
            </w:r>
          </w:p>
        </w:tc>
      </w:tr>
      <w:tr w:rsidR="00D25D40" w:rsidRPr="00B672CA" w14:paraId="1F9A88CB" w14:textId="77777777" w:rsidTr="00696322">
        <w:tc>
          <w:tcPr>
            <w:tcW w:w="3954" w:type="dxa"/>
            <w:shd w:val="clear" w:color="auto" w:fill="auto"/>
          </w:tcPr>
          <w:p w14:paraId="4DF82230" w14:textId="77777777" w:rsidR="00D25D40" w:rsidRPr="00B672CA" w:rsidRDefault="00D25D40" w:rsidP="00371C61">
            <w:pPr>
              <w:pStyle w:val="Tabletext"/>
            </w:pPr>
            <w:r w:rsidRPr="00B672CA">
              <w:t>Local governments in the target landscapes are not committed to the PPI approach, so sustainable change cannot be achieved.</w:t>
            </w:r>
          </w:p>
        </w:tc>
        <w:tc>
          <w:tcPr>
            <w:tcW w:w="851" w:type="dxa"/>
            <w:shd w:val="clear" w:color="auto" w:fill="auto"/>
          </w:tcPr>
          <w:p w14:paraId="43447B01" w14:textId="77777777" w:rsidR="00D25D40" w:rsidRPr="00B672CA" w:rsidRDefault="00D25D40" w:rsidP="00371C61">
            <w:pPr>
              <w:pStyle w:val="Tabletext"/>
            </w:pPr>
            <w:r w:rsidRPr="00B672CA">
              <w:t>M</w:t>
            </w:r>
          </w:p>
        </w:tc>
        <w:tc>
          <w:tcPr>
            <w:tcW w:w="6024" w:type="dxa"/>
            <w:shd w:val="clear" w:color="auto" w:fill="auto"/>
          </w:tcPr>
          <w:p w14:paraId="352FC0F6" w14:textId="77777777" w:rsidR="00D25D40" w:rsidRPr="00B672CA" w:rsidRDefault="00D25D40" w:rsidP="00371C61">
            <w:pPr>
              <w:pStyle w:val="Tabletext"/>
            </w:pPr>
            <w:r w:rsidRPr="00B672CA">
              <w:t>Involve local governments actively from the start, in order to align strategic planning.</w:t>
            </w:r>
          </w:p>
          <w:p w14:paraId="040A70EB" w14:textId="77777777" w:rsidR="00D25D40" w:rsidRPr="00B672CA" w:rsidRDefault="00D25D40" w:rsidP="00371C61">
            <w:pPr>
              <w:pStyle w:val="Tabletext"/>
            </w:pPr>
            <w:r w:rsidRPr="00B672CA">
              <w:t>Use relevant government policies, programs and interventions at the national level that can facilitate local government commitment.</w:t>
            </w:r>
          </w:p>
        </w:tc>
      </w:tr>
      <w:tr w:rsidR="00D25D40" w:rsidRPr="00B672CA" w14:paraId="596DAF98" w14:textId="77777777" w:rsidTr="00696322">
        <w:tc>
          <w:tcPr>
            <w:tcW w:w="3954" w:type="dxa"/>
            <w:shd w:val="clear" w:color="auto" w:fill="auto"/>
          </w:tcPr>
          <w:p w14:paraId="067E87AD" w14:textId="77777777" w:rsidR="00D25D40" w:rsidRPr="00B672CA" w:rsidRDefault="00D25D40" w:rsidP="00371C61">
            <w:pPr>
              <w:pStyle w:val="Tabletext"/>
            </w:pPr>
            <w:r w:rsidRPr="00B672CA">
              <w:t>Multinational companies’ interests overshadow the interests of smaller (local) companies</w:t>
            </w:r>
          </w:p>
        </w:tc>
        <w:tc>
          <w:tcPr>
            <w:tcW w:w="851" w:type="dxa"/>
            <w:shd w:val="clear" w:color="auto" w:fill="auto"/>
          </w:tcPr>
          <w:p w14:paraId="3F27A69A" w14:textId="77777777" w:rsidR="00D25D40" w:rsidRPr="00B672CA" w:rsidRDefault="00D25D40" w:rsidP="00371C61">
            <w:pPr>
              <w:pStyle w:val="Tabletext"/>
            </w:pPr>
            <w:r w:rsidRPr="00B672CA">
              <w:t>M</w:t>
            </w:r>
          </w:p>
        </w:tc>
        <w:tc>
          <w:tcPr>
            <w:tcW w:w="6024" w:type="dxa"/>
            <w:shd w:val="clear" w:color="auto" w:fill="auto"/>
          </w:tcPr>
          <w:p w14:paraId="6F2F48F8" w14:textId="77777777" w:rsidR="00D25D40" w:rsidRPr="00B672CA" w:rsidRDefault="00D25D40" w:rsidP="00371C61">
            <w:pPr>
              <w:pStyle w:val="Tabletext"/>
            </w:pPr>
            <w:r w:rsidRPr="00B672CA">
              <w:t>Ensure good and transparent communication of program objectives and results to SMEs and other stakeholders, so that their needs are addressed and they feel that they have ownership of the initiative.</w:t>
            </w:r>
          </w:p>
          <w:p w14:paraId="040F48EF" w14:textId="77777777" w:rsidR="00D25D40" w:rsidRPr="00B672CA" w:rsidRDefault="00D25D40" w:rsidP="00371C61">
            <w:pPr>
              <w:pStyle w:val="Tabletext"/>
            </w:pPr>
            <w:r w:rsidRPr="00B672CA">
              <w:t>Continued monitoring of public good impact when working with larger companies.</w:t>
            </w:r>
          </w:p>
        </w:tc>
      </w:tr>
      <w:tr w:rsidR="00D25D40" w:rsidRPr="00B672CA" w14:paraId="4D56843F" w14:textId="77777777" w:rsidTr="00696322">
        <w:tc>
          <w:tcPr>
            <w:tcW w:w="3954" w:type="dxa"/>
            <w:shd w:val="clear" w:color="auto" w:fill="auto"/>
          </w:tcPr>
          <w:p w14:paraId="5FF651F4" w14:textId="695896DE" w:rsidR="00D25D40" w:rsidRPr="00B672CA" w:rsidRDefault="00D25D40" w:rsidP="00371C61">
            <w:pPr>
              <w:pStyle w:val="Tabletext"/>
            </w:pPr>
            <w:r w:rsidRPr="00B672CA">
              <w:t xml:space="preserve">Funds from the </w:t>
            </w:r>
            <w:r w:rsidR="00005AAD" w:rsidRPr="00B672CA">
              <w:t>&amp;Green Fund</w:t>
            </w:r>
            <w:r w:rsidRPr="00B672CA">
              <w:t xml:space="preserve"> are not adequately used</w:t>
            </w:r>
          </w:p>
        </w:tc>
        <w:tc>
          <w:tcPr>
            <w:tcW w:w="851" w:type="dxa"/>
            <w:shd w:val="clear" w:color="auto" w:fill="auto"/>
          </w:tcPr>
          <w:p w14:paraId="07B2E186" w14:textId="77777777" w:rsidR="00D25D40" w:rsidRPr="00B672CA" w:rsidRDefault="00D25D40" w:rsidP="00371C61">
            <w:pPr>
              <w:pStyle w:val="Tabletext"/>
            </w:pPr>
            <w:r w:rsidRPr="00B672CA">
              <w:t>H</w:t>
            </w:r>
          </w:p>
        </w:tc>
        <w:tc>
          <w:tcPr>
            <w:tcW w:w="6024" w:type="dxa"/>
            <w:shd w:val="clear" w:color="auto" w:fill="auto"/>
          </w:tcPr>
          <w:p w14:paraId="4EF5F8CC" w14:textId="4E6621E0" w:rsidR="00D25D40" w:rsidRPr="00B672CA" w:rsidRDefault="00D25D40" w:rsidP="00371C61">
            <w:pPr>
              <w:pStyle w:val="Tabletext"/>
            </w:pPr>
            <w:r w:rsidRPr="00B672CA">
              <w:t xml:space="preserve">Monitoring and reporting system in place. Annual and mid-term reporting in place. Annual audits of overall program and individual sub-projects are undertaken, and are in accordance with </w:t>
            </w:r>
            <w:r w:rsidR="00005AAD" w:rsidRPr="00B672CA">
              <w:t>&amp;Green Fund</w:t>
            </w:r>
            <w:r w:rsidR="000405C3" w:rsidRPr="00B672CA">
              <w:t>’s</w:t>
            </w:r>
            <w:r w:rsidRPr="00B672CA">
              <w:t xml:space="preserve"> audit protocol.</w:t>
            </w:r>
            <w:r w:rsidR="000772AF" w:rsidRPr="00B672CA">
              <w:t xml:space="preserve"> </w:t>
            </w:r>
            <w:r w:rsidR="00005AAD" w:rsidRPr="00B672CA">
              <w:t>&amp;Green Fund</w:t>
            </w:r>
            <w:r w:rsidRPr="00B672CA">
              <w:t xml:space="preserve"> has regulated governance structure in place, including a </w:t>
            </w:r>
            <w:r w:rsidR="003A27EA" w:rsidRPr="00B672CA">
              <w:t xml:space="preserve">Credit </w:t>
            </w:r>
            <w:r w:rsidRPr="00B672CA">
              <w:t>Committee operating on the basis of international best practice.</w:t>
            </w:r>
          </w:p>
        </w:tc>
      </w:tr>
      <w:tr w:rsidR="00D25D40" w:rsidRPr="00B672CA" w14:paraId="6D702A8F" w14:textId="77777777" w:rsidTr="00696322">
        <w:tc>
          <w:tcPr>
            <w:tcW w:w="3954" w:type="dxa"/>
            <w:shd w:val="clear" w:color="auto" w:fill="auto"/>
          </w:tcPr>
          <w:p w14:paraId="0B1C526F" w14:textId="73A888E8" w:rsidR="00D25D40" w:rsidRPr="00B672CA" w:rsidRDefault="00D25D40" w:rsidP="00371C61">
            <w:pPr>
              <w:pStyle w:val="Tabletext"/>
            </w:pPr>
            <w:r w:rsidRPr="00B672CA">
              <w:t xml:space="preserve">The </w:t>
            </w:r>
            <w:r w:rsidR="00005AAD" w:rsidRPr="00B672CA">
              <w:t>&amp;Green Fund</w:t>
            </w:r>
            <w:r w:rsidRPr="00B672CA">
              <w:t xml:space="preserve"> makes investments in high-risk or disreputable private sector companies or producers</w:t>
            </w:r>
          </w:p>
        </w:tc>
        <w:tc>
          <w:tcPr>
            <w:tcW w:w="851" w:type="dxa"/>
            <w:shd w:val="clear" w:color="auto" w:fill="auto"/>
          </w:tcPr>
          <w:p w14:paraId="5893353A" w14:textId="77777777" w:rsidR="00D25D40" w:rsidRPr="00B672CA" w:rsidRDefault="00D25D40" w:rsidP="00371C61">
            <w:pPr>
              <w:pStyle w:val="Tabletext"/>
            </w:pPr>
            <w:r w:rsidRPr="00B672CA">
              <w:t>M</w:t>
            </w:r>
          </w:p>
        </w:tc>
        <w:tc>
          <w:tcPr>
            <w:tcW w:w="6024" w:type="dxa"/>
            <w:shd w:val="clear" w:color="auto" w:fill="auto"/>
          </w:tcPr>
          <w:p w14:paraId="226DE829" w14:textId="44D0F3DD" w:rsidR="00D25D40" w:rsidRPr="00B672CA" w:rsidRDefault="00D25D40" w:rsidP="00371C61">
            <w:pPr>
              <w:pStyle w:val="Tabletext"/>
            </w:pPr>
            <w:r w:rsidRPr="00B672CA">
              <w:t xml:space="preserve">The </w:t>
            </w:r>
            <w:r w:rsidR="00005AAD" w:rsidRPr="00B672CA">
              <w:t>&amp;Green Fund</w:t>
            </w:r>
            <w:r w:rsidRPr="00B672CA">
              <w:t xml:space="preserve"> only invests together with reputable development finance institutions. Thus, it is able to rely on the financial institution’s credit risk assessment of the investee as well as their Know-Your-Client (KYC) and similar risk management procedures. </w:t>
            </w:r>
          </w:p>
        </w:tc>
      </w:tr>
      <w:tr w:rsidR="00D25D40" w:rsidRPr="00B672CA" w14:paraId="3A44B7CE" w14:textId="77777777" w:rsidTr="00696322">
        <w:tc>
          <w:tcPr>
            <w:tcW w:w="3954" w:type="dxa"/>
            <w:tcBorders>
              <w:bottom w:val="single" w:sz="4" w:space="0" w:color="auto"/>
            </w:tcBorders>
            <w:shd w:val="clear" w:color="auto" w:fill="auto"/>
          </w:tcPr>
          <w:p w14:paraId="031D9C99" w14:textId="77777777" w:rsidR="00D25D40" w:rsidRPr="00B672CA" w:rsidRDefault="00D25D40" w:rsidP="00371C61">
            <w:pPr>
              <w:pStyle w:val="Tabletext"/>
            </w:pPr>
            <w:r w:rsidRPr="00B672CA">
              <w:t>Improved income might motivate farmers to expand their operation and encroach on forest. This might result in additional deforestation.</w:t>
            </w:r>
          </w:p>
        </w:tc>
        <w:tc>
          <w:tcPr>
            <w:tcW w:w="851" w:type="dxa"/>
            <w:tcBorders>
              <w:bottom w:val="single" w:sz="4" w:space="0" w:color="auto"/>
            </w:tcBorders>
            <w:shd w:val="clear" w:color="auto" w:fill="auto"/>
          </w:tcPr>
          <w:p w14:paraId="220D5BBF" w14:textId="77777777" w:rsidR="00D25D40" w:rsidRPr="00B672CA" w:rsidRDefault="00D25D40" w:rsidP="00371C61">
            <w:pPr>
              <w:pStyle w:val="Tabletext"/>
            </w:pPr>
            <w:r w:rsidRPr="00B672CA">
              <w:t>M</w:t>
            </w:r>
          </w:p>
        </w:tc>
        <w:tc>
          <w:tcPr>
            <w:tcW w:w="6024" w:type="dxa"/>
            <w:tcBorders>
              <w:bottom w:val="single" w:sz="4" w:space="0" w:color="auto"/>
            </w:tcBorders>
            <w:shd w:val="clear" w:color="auto" w:fill="auto"/>
          </w:tcPr>
          <w:p w14:paraId="2A2721B4" w14:textId="289C7AF1" w:rsidR="00D25D40" w:rsidRPr="00B672CA" w:rsidRDefault="00D25D40" w:rsidP="00371C61">
            <w:pPr>
              <w:pStyle w:val="Tabletext"/>
            </w:pPr>
            <w:r w:rsidRPr="00B672CA">
              <w:t>Sustainability criteria have</w:t>
            </w:r>
            <w:r w:rsidR="00353269" w:rsidRPr="00B672CA">
              <w:t xml:space="preserve"> a</w:t>
            </w:r>
            <w:r w:rsidRPr="00B672CA">
              <w:t xml:space="preserve"> strong focus.</w:t>
            </w:r>
            <w:r w:rsidR="00353269" w:rsidRPr="00B672CA">
              <w:t xml:space="preserve"> </w:t>
            </w:r>
            <w:r w:rsidRPr="00B672CA">
              <w:t xml:space="preserve">Sub-projects </w:t>
            </w:r>
            <w:r w:rsidR="00353269" w:rsidRPr="00B672CA">
              <w:t xml:space="preserve">promote good agricultural practices </w:t>
            </w:r>
            <w:r w:rsidRPr="00B672CA">
              <w:t xml:space="preserve">(pre-requisite for investment) as </w:t>
            </w:r>
            <w:r w:rsidR="00353269" w:rsidRPr="00B672CA">
              <w:t xml:space="preserve">a means </w:t>
            </w:r>
            <w:r w:rsidRPr="00B672CA">
              <w:t>to improve productivity of existing plantation.</w:t>
            </w:r>
            <w:r w:rsidR="00353269" w:rsidRPr="00B672CA">
              <w:t xml:space="preserve"> </w:t>
            </w:r>
            <w:r w:rsidRPr="00B672CA">
              <w:t>Clear criteria will be set for eligible production areas.</w:t>
            </w:r>
            <w:r w:rsidR="00353269" w:rsidRPr="00B672CA">
              <w:t xml:space="preserve"> PPI </w:t>
            </w:r>
            <w:r w:rsidRPr="00B672CA">
              <w:t xml:space="preserve">agreements with communities and farmers will embed sustainability at field level (e.g. through village conservation agreement attached </w:t>
            </w:r>
            <w:r w:rsidR="00353269" w:rsidRPr="00B672CA">
              <w:t xml:space="preserve">to </w:t>
            </w:r>
            <w:r w:rsidRPr="00B672CA">
              <w:t>productivity programs).</w:t>
            </w:r>
          </w:p>
        </w:tc>
      </w:tr>
      <w:tr w:rsidR="00D25D40" w:rsidRPr="00B672CA" w14:paraId="1E5AA985" w14:textId="77777777" w:rsidTr="00696322">
        <w:tc>
          <w:tcPr>
            <w:tcW w:w="3954" w:type="dxa"/>
            <w:tcBorders>
              <w:bottom w:val="single" w:sz="4" w:space="0" w:color="auto"/>
            </w:tcBorders>
            <w:shd w:val="clear" w:color="auto" w:fill="auto"/>
          </w:tcPr>
          <w:p w14:paraId="794C2343" w14:textId="77777777" w:rsidR="00D25D40" w:rsidRPr="00B672CA" w:rsidRDefault="00D25D40" w:rsidP="00371C61">
            <w:pPr>
              <w:pStyle w:val="Tabletext"/>
            </w:pPr>
            <w:r w:rsidRPr="00B672CA">
              <w:t>Linkages between local planning and regional or national planning inhibit sustainable land use planning at landscape scale</w:t>
            </w:r>
          </w:p>
        </w:tc>
        <w:tc>
          <w:tcPr>
            <w:tcW w:w="851" w:type="dxa"/>
            <w:tcBorders>
              <w:bottom w:val="single" w:sz="4" w:space="0" w:color="auto"/>
            </w:tcBorders>
            <w:shd w:val="clear" w:color="auto" w:fill="auto"/>
          </w:tcPr>
          <w:p w14:paraId="78F1C1D7" w14:textId="77777777" w:rsidR="00D25D40" w:rsidRPr="00B672CA" w:rsidRDefault="00D25D40" w:rsidP="00371C61">
            <w:pPr>
              <w:pStyle w:val="Tabletext"/>
            </w:pPr>
            <w:r w:rsidRPr="00B672CA">
              <w:t>L</w:t>
            </w:r>
          </w:p>
        </w:tc>
        <w:tc>
          <w:tcPr>
            <w:tcW w:w="6024" w:type="dxa"/>
            <w:tcBorders>
              <w:bottom w:val="single" w:sz="4" w:space="0" w:color="auto"/>
            </w:tcBorders>
            <w:shd w:val="clear" w:color="auto" w:fill="auto"/>
          </w:tcPr>
          <w:p w14:paraId="6DA642B9" w14:textId="77777777" w:rsidR="00D25D40" w:rsidRPr="00B672CA" w:rsidRDefault="00D25D40" w:rsidP="00371C61">
            <w:pPr>
              <w:pStyle w:val="Tabletext"/>
            </w:pPr>
            <w:r w:rsidRPr="00B672CA">
              <w:t>Relevant larger scale planning entities (in both land use and agriculture) will be included in the convening and consultation processes.</w:t>
            </w:r>
          </w:p>
        </w:tc>
      </w:tr>
      <w:tr w:rsidR="00D25D40" w:rsidRPr="00B672CA" w14:paraId="788D49EA" w14:textId="77777777" w:rsidTr="00696322">
        <w:tc>
          <w:tcPr>
            <w:tcW w:w="3954" w:type="dxa"/>
            <w:shd w:val="clear" w:color="auto" w:fill="808080"/>
          </w:tcPr>
          <w:p w14:paraId="172625F7" w14:textId="77777777" w:rsidR="00D25D40" w:rsidRPr="00B672CA" w:rsidRDefault="00D25D40" w:rsidP="00371C61">
            <w:pPr>
              <w:pStyle w:val="Tabletext"/>
            </w:pPr>
            <w:r w:rsidRPr="00B672CA">
              <w:t>Liberia specific</w:t>
            </w:r>
          </w:p>
        </w:tc>
        <w:tc>
          <w:tcPr>
            <w:tcW w:w="851" w:type="dxa"/>
            <w:shd w:val="clear" w:color="auto" w:fill="808080"/>
          </w:tcPr>
          <w:p w14:paraId="2D8B359F" w14:textId="77777777" w:rsidR="00D25D40" w:rsidRPr="00B672CA" w:rsidRDefault="00D25D40" w:rsidP="00371C61">
            <w:pPr>
              <w:pStyle w:val="Tabletext"/>
            </w:pPr>
          </w:p>
        </w:tc>
        <w:tc>
          <w:tcPr>
            <w:tcW w:w="6024" w:type="dxa"/>
            <w:shd w:val="clear" w:color="auto" w:fill="808080"/>
          </w:tcPr>
          <w:p w14:paraId="5094D3C7" w14:textId="77777777" w:rsidR="00D25D40" w:rsidRPr="00B672CA" w:rsidRDefault="00D25D40" w:rsidP="00371C61">
            <w:pPr>
              <w:pStyle w:val="Tabletext"/>
            </w:pPr>
          </w:p>
        </w:tc>
      </w:tr>
      <w:tr w:rsidR="00D25D40" w:rsidRPr="00B672CA" w14:paraId="4C66CAF6" w14:textId="77777777" w:rsidTr="00696322">
        <w:tc>
          <w:tcPr>
            <w:tcW w:w="3954" w:type="dxa"/>
            <w:shd w:val="clear" w:color="auto" w:fill="auto"/>
          </w:tcPr>
          <w:p w14:paraId="5F5980EE" w14:textId="680D0925" w:rsidR="00D25D40" w:rsidRPr="00B672CA" w:rsidRDefault="00D25D40" w:rsidP="00371C61">
            <w:pPr>
              <w:pStyle w:val="Tabletext"/>
            </w:pPr>
            <w:r w:rsidRPr="00B672CA">
              <w:t xml:space="preserve">The </w:t>
            </w:r>
            <w:r w:rsidR="00005AAD" w:rsidRPr="00B672CA">
              <w:t>&amp;Green Fund</w:t>
            </w:r>
            <w:r w:rsidRPr="00B672CA">
              <w:t xml:space="preserve"> makes investments in high-risk or disreputable private sector companies or producers</w:t>
            </w:r>
          </w:p>
        </w:tc>
        <w:tc>
          <w:tcPr>
            <w:tcW w:w="851" w:type="dxa"/>
            <w:shd w:val="clear" w:color="auto" w:fill="auto"/>
          </w:tcPr>
          <w:p w14:paraId="07B40C19" w14:textId="77777777" w:rsidR="00D25D40" w:rsidRPr="00B672CA" w:rsidRDefault="00D25D40" w:rsidP="00371C61">
            <w:pPr>
              <w:pStyle w:val="Tabletext"/>
            </w:pPr>
            <w:r w:rsidRPr="00B672CA">
              <w:t>M</w:t>
            </w:r>
          </w:p>
        </w:tc>
        <w:tc>
          <w:tcPr>
            <w:tcW w:w="6024" w:type="dxa"/>
            <w:shd w:val="clear" w:color="auto" w:fill="auto"/>
          </w:tcPr>
          <w:p w14:paraId="2140C232" w14:textId="39038B85" w:rsidR="00D25D40" w:rsidRPr="00B672CA" w:rsidRDefault="00D25D40" w:rsidP="00371C61">
            <w:pPr>
              <w:pStyle w:val="Tabletext"/>
            </w:pPr>
            <w:r w:rsidRPr="00B672CA">
              <w:t xml:space="preserve">The </w:t>
            </w:r>
            <w:r w:rsidR="00005AAD" w:rsidRPr="00B672CA">
              <w:t>&amp;Green Fund</w:t>
            </w:r>
            <w:r w:rsidRPr="00B672CA">
              <w:t xml:space="preserve"> only invests together with reputable development finance institutions. Thus, it is able to rely on the financial institution’s credit risk assessment of the investee as well as their Know Your Client (KYC) and similar risk management procedures.</w:t>
            </w:r>
          </w:p>
        </w:tc>
      </w:tr>
      <w:tr w:rsidR="00D25D40" w:rsidRPr="00B672CA" w14:paraId="02EC4A78" w14:textId="77777777" w:rsidTr="00696322">
        <w:tc>
          <w:tcPr>
            <w:tcW w:w="3954" w:type="dxa"/>
            <w:shd w:val="clear" w:color="auto" w:fill="auto"/>
          </w:tcPr>
          <w:p w14:paraId="1E850E32" w14:textId="77777777" w:rsidR="00D25D40" w:rsidRPr="00B672CA" w:rsidRDefault="00D25D40" w:rsidP="00371C61">
            <w:pPr>
              <w:pStyle w:val="Tabletext"/>
            </w:pPr>
            <w:r w:rsidRPr="00B672CA">
              <w:t xml:space="preserve">Political instability </w:t>
            </w:r>
          </w:p>
        </w:tc>
        <w:tc>
          <w:tcPr>
            <w:tcW w:w="851" w:type="dxa"/>
            <w:shd w:val="clear" w:color="auto" w:fill="auto"/>
          </w:tcPr>
          <w:p w14:paraId="717E4AEF" w14:textId="77777777" w:rsidR="00D25D40" w:rsidRPr="00B672CA" w:rsidRDefault="00D25D40" w:rsidP="00371C61">
            <w:pPr>
              <w:pStyle w:val="Tabletext"/>
            </w:pPr>
            <w:r w:rsidRPr="00B672CA">
              <w:t>H</w:t>
            </w:r>
          </w:p>
        </w:tc>
        <w:tc>
          <w:tcPr>
            <w:tcW w:w="6024" w:type="dxa"/>
            <w:shd w:val="clear" w:color="auto" w:fill="auto"/>
          </w:tcPr>
          <w:p w14:paraId="150DAA90" w14:textId="77777777" w:rsidR="00D25D40" w:rsidRPr="00B672CA" w:rsidRDefault="00D25D40" w:rsidP="00371C61">
            <w:pPr>
              <w:pStyle w:val="Tabletext"/>
            </w:pPr>
            <w:r w:rsidRPr="00B672CA">
              <w:t>Closely monitor outcomes of October 2017 elections.</w:t>
            </w:r>
          </w:p>
          <w:p w14:paraId="485513FA" w14:textId="77777777" w:rsidR="00D25D40" w:rsidRPr="00B672CA" w:rsidRDefault="00D25D40" w:rsidP="00371C61">
            <w:pPr>
              <w:pStyle w:val="Tabletext"/>
            </w:pPr>
            <w:r w:rsidRPr="00B672CA">
              <w:t>Ensure buy-in from local to national key stakeholders to manage potential challenges emerging from political processes.</w:t>
            </w:r>
          </w:p>
        </w:tc>
      </w:tr>
      <w:tr w:rsidR="00D25D40" w:rsidRPr="00B672CA" w14:paraId="325860BD" w14:textId="77777777" w:rsidTr="00696322">
        <w:tc>
          <w:tcPr>
            <w:tcW w:w="3954" w:type="dxa"/>
            <w:shd w:val="clear" w:color="auto" w:fill="808080"/>
          </w:tcPr>
          <w:p w14:paraId="3DF19F9B" w14:textId="77777777" w:rsidR="00D25D40" w:rsidRPr="00B672CA" w:rsidRDefault="00D25D40" w:rsidP="00371C61">
            <w:pPr>
              <w:pStyle w:val="Tabletext"/>
            </w:pPr>
            <w:r w:rsidRPr="00B672CA">
              <w:t>Indonesia specific</w:t>
            </w:r>
          </w:p>
        </w:tc>
        <w:tc>
          <w:tcPr>
            <w:tcW w:w="851" w:type="dxa"/>
            <w:shd w:val="clear" w:color="auto" w:fill="808080"/>
          </w:tcPr>
          <w:p w14:paraId="7984D81F" w14:textId="77777777" w:rsidR="00D25D40" w:rsidRPr="00B672CA" w:rsidRDefault="00D25D40" w:rsidP="00371C61">
            <w:pPr>
              <w:pStyle w:val="Tabletext"/>
            </w:pPr>
          </w:p>
        </w:tc>
        <w:tc>
          <w:tcPr>
            <w:tcW w:w="6024" w:type="dxa"/>
            <w:shd w:val="clear" w:color="auto" w:fill="808080"/>
          </w:tcPr>
          <w:p w14:paraId="786413CC" w14:textId="77777777" w:rsidR="00D25D40" w:rsidRPr="00B672CA" w:rsidRDefault="00D25D40" w:rsidP="00371C61">
            <w:pPr>
              <w:pStyle w:val="Tabletext"/>
            </w:pPr>
          </w:p>
        </w:tc>
      </w:tr>
      <w:tr w:rsidR="00D25D40" w:rsidRPr="00B672CA" w14:paraId="7A5901FE" w14:textId="77777777" w:rsidTr="00696322">
        <w:tc>
          <w:tcPr>
            <w:tcW w:w="3954" w:type="dxa"/>
            <w:shd w:val="clear" w:color="auto" w:fill="auto"/>
          </w:tcPr>
          <w:p w14:paraId="0383EE3B" w14:textId="77777777" w:rsidR="00D25D40" w:rsidRPr="00B672CA" w:rsidRDefault="00D25D40" w:rsidP="00371C61">
            <w:pPr>
              <w:pStyle w:val="Tabletext"/>
            </w:pPr>
            <w:r w:rsidRPr="00B672CA">
              <w:t>Unclear and inconsistent regulatory framework at national and local levels hampers investment in production and protection</w:t>
            </w:r>
          </w:p>
        </w:tc>
        <w:tc>
          <w:tcPr>
            <w:tcW w:w="851" w:type="dxa"/>
            <w:shd w:val="clear" w:color="auto" w:fill="auto"/>
          </w:tcPr>
          <w:p w14:paraId="7757106B" w14:textId="77777777" w:rsidR="00D25D40" w:rsidRPr="00B672CA" w:rsidRDefault="00D25D40" w:rsidP="00371C61">
            <w:pPr>
              <w:pStyle w:val="Tabletext"/>
            </w:pPr>
            <w:r w:rsidRPr="00B672CA">
              <w:t>H</w:t>
            </w:r>
          </w:p>
        </w:tc>
        <w:tc>
          <w:tcPr>
            <w:tcW w:w="6024" w:type="dxa"/>
            <w:shd w:val="clear" w:color="auto" w:fill="auto"/>
          </w:tcPr>
          <w:p w14:paraId="621DC18B" w14:textId="77777777" w:rsidR="00D25D40" w:rsidRPr="00B672CA" w:rsidRDefault="00D25D40" w:rsidP="00371C61">
            <w:pPr>
              <w:pStyle w:val="Tabletext"/>
            </w:pPr>
            <w:r w:rsidRPr="00B672CA">
              <w:t>Identify specific areas within the regulatory framework that lack clarity and consistency, which may hold back investments in production and protection.</w:t>
            </w:r>
          </w:p>
          <w:p w14:paraId="2A96E842" w14:textId="77777777" w:rsidR="00D25D40" w:rsidRPr="00B672CA" w:rsidRDefault="00D25D40" w:rsidP="00371C61">
            <w:pPr>
              <w:pStyle w:val="Tabletext"/>
            </w:pPr>
            <w:r w:rsidRPr="00B672CA">
              <w:t>Work closely with the respective authorities and development partners on policy and regulatory improvements.</w:t>
            </w:r>
          </w:p>
        </w:tc>
      </w:tr>
      <w:tr w:rsidR="00D25D40" w:rsidRPr="00B672CA" w14:paraId="1E06CF78" w14:textId="77777777" w:rsidTr="00696322">
        <w:tc>
          <w:tcPr>
            <w:tcW w:w="3954" w:type="dxa"/>
            <w:shd w:val="clear" w:color="auto" w:fill="auto"/>
          </w:tcPr>
          <w:p w14:paraId="43AE5B31" w14:textId="6A1D4B96" w:rsidR="00D25D40" w:rsidRPr="00B672CA" w:rsidRDefault="00D25D40" w:rsidP="00371C61">
            <w:pPr>
              <w:pStyle w:val="Tabletext"/>
            </w:pPr>
            <w:r w:rsidRPr="00B672CA">
              <w:t xml:space="preserve">The lack of proven examples causes reluctance among small and medium companies to invest in </w:t>
            </w:r>
            <w:r w:rsidR="000772AF" w:rsidRPr="00B672CA">
              <w:t>PPI</w:t>
            </w:r>
          </w:p>
        </w:tc>
        <w:tc>
          <w:tcPr>
            <w:tcW w:w="851" w:type="dxa"/>
            <w:shd w:val="clear" w:color="auto" w:fill="auto"/>
          </w:tcPr>
          <w:p w14:paraId="12ED52A0" w14:textId="77777777" w:rsidR="00D25D40" w:rsidRPr="00B672CA" w:rsidRDefault="00D25D40" w:rsidP="00371C61">
            <w:pPr>
              <w:pStyle w:val="Tabletext"/>
            </w:pPr>
            <w:r w:rsidRPr="00B672CA">
              <w:t>H</w:t>
            </w:r>
          </w:p>
        </w:tc>
        <w:tc>
          <w:tcPr>
            <w:tcW w:w="6024" w:type="dxa"/>
            <w:shd w:val="clear" w:color="auto" w:fill="auto"/>
          </w:tcPr>
          <w:p w14:paraId="35878636" w14:textId="77777777" w:rsidR="00D25D40" w:rsidRPr="00B672CA" w:rsidRDefault="00D25D40" w:rsidP="00371C61">
            <w:pPr>
              <w:pStyle w:val="Tabletext"/>
            </w:pPr>
            <w:r w:rsidRPr="00B672CA">
              <w:t>Develop and disseminate proof of concept, via small-scale pilots with large companies that can take more risk.</w:t>
            </w:r>
          </w:p>
          <w:p w14:paraId="2B34A766" w14:textId="6A87748F" w:rsidR="00D25D40" w:rsidRPr="00B672CA" w:rsidRDefault="000772AF" w:rsidP="00371C61">
            <w:pPr>
              <w:pStyle w:val="Tabletext"/>
            </w:pPr>
            <w:r w:rsidRPr="00B672CA">
              <w:t xml:space="preserve">Implement </w:t>
            </w:r>
            <w:r w:rsidR="00D25D40" w:rsidRPr="00B672CA">
              <w:t>pilot projects in order to broaden the PPI knowledge base.</w:t>
            </w:r>
          </w:p>
        </w:tc>
      </w:tr>
      <w:tr w:rsidR="00D25D40" w:rsidRPr="00B672CA" w14:paraId="2FE63B0C" w14:textId="77777777" w:rsidTr="00696322">
        <w:tc>
          <w:tcPr>
            <w:tcW w:w="3954" w:type="dxa"/>
            <w:tcBorders>
              <w:bottom w:val="single" w:sz="4" w:space="0" w:color="auto"/>
            </w:tcBorders>
            <w:shd w:val="clear" w:color="auto" w:fill="auto"/>
          </w:tcPr>
          <w:p w14:paraId="0651F927" w14:textId="77777777" w:rsidR="00D25D40" w:rsidRPr="00B672CA" w:rsidRDefault="00D25D40" w:rsidP="00371C61">
            <w:pPr>
              <w:pStyle w:val="Tabletext"/>
            </w:pPr>
            <w:r w:rsidRPr="00B672CA">
              <w:t>Lack of capacity in local civil service to guide and take part in complex production and protection deals</w:t>
            </w:r>
          </w:p>
        </w:tc>
        <w:tc>
          <w:tcPr>
            <w:tcW w:w="851" w:type="dxa"/>
            <w:tcBorders>
              <w:bottom w:val="single" w:sz="4" w:space="0" w:color="auto"/>
            </w:tcBorders>
            <w:shd w:val="clear" w:color="auto" w:fill="auto"/>
          </w:tcPr>
          <w:p w14:paraId="11CFF662" w14:textId="77777777" w:rsidR="00D25D40" w:rsidRPr="00B672CA" w:rsidRDefault="00D25D40" w:rsidP="00371C61">
            <w:pPr>
              <w:pStyle w:val="Tabletext"/>
            </w:pPr>
            <w:r w:rsidRPr="00B672CA">
              <w:t>H</w:t>
            </w:r>
          </w:p>
        </w:tc>
        <w:tc>
          <w:tcPr>
            <w:tcW w:w="6024" w:type="dxa"/>
            <w:tcBorders>
              <w:bottom w:val="single" w:sz="4" w:space="0" w:color="auto"/>
            </w:tcBorders>
            <w:shd w:val="clear" w:color="auto" w:fill="auto"/>
          </w:tcPr>
          <w:p w14:paraId="722BBD54" w14:textId="77777777" w:rsidR="00D25D40" w:rsidRPr="00B672CA" w:rsidRDefault="00D25D40" w:rsidP="00371C61">
            <w:pPr>
              <w:pStyle w:val="Tabletext"/>
            </w:pPr>
            <w:r w:rsidRPr="00B672CA">
              <w:t xml:space="preserve">Cooperate with development partners that have specific programs for capacity building of local government institutions involved in forest protection and spatial planning. </w:t>
            </w:r>
          </w:p>
          <w:p w14:paraId="130B3468" w14:textId="77777777" w:rsidR="00D25D40" w:rsidRPr="00B672CA" w:rsidRDefault="00D25D40" w:rsidP="00371C61">
            <w:pPr>
              <w:pStyle w:val="Tabletext"/>
            </w:pPr>
            <w:r w:rsidRPr="00B672CA">
              <w:t>Try to build the production and protection deals with well-established and staffed institutions/ departments of local government.</w:t>
            </w:r>
          </w:p>
        </w:tc>
      </w:tr>
      <w:tr w:rsidR="00D25D40" w:rsidRPr="00B672CA" w14:paraId="144F9B7B" w14:textId="77777777" w:rsidTr="00696322">
        <w:tc>
          <w:tcPr>
            <w:tcW w:w="3954" w:type="dxa"/>
            <w:shd w:val="clear" w:color="auto" w:fill="808080"/>
          </w:tcPr>
          <w:p w14:paraId="2E73F6DB" w14:textId="77777777" w:rsidR="00D25D40" w:rsidRPr="00B672CA" w:rsidRDefault="00D25D40" w:rsidP="00371C61">
            <w:pPr>
              <w:pStyle w:val="Tabletext"/>
            </w:pPr>
            <w:r w:rsidRPr="00B672CA">
              <w:t>Brazil specific</w:t>
            </w:r>
          </w:p>
        </w:tc>
        <w:tc>
          <w:tcPr>
            <w:tcW w:w="851" w:type="dxa"/>
            <w:shd w:val="clear" w:color="auto" w:fill="808080"/>
          </w:tcPr>
          <w:p w14:paraId="31D1EB94" w14:textId="77777777" w:rsidR="00D25D40" w:rsidRPr="00B672CA" w:rsidRDefault="00D25D40" w:rsidP="00371C61">
            <w:pPr>
              <w:pStyle w:val="Tabletext"/>
            </w:pPr>
          </w:p>
        </w:tc>
        <w:tc>
          <w:tcPr>
            <w:tcW w:w="6024" w:type="dxa"/>
            <w:shd w:val="clear" w:color="auto" w:fill="808080"/>
          </w:tcPr>
          <w:p w14:paraId="5D475332" w14:textId="77777777" w:rsidR="00D25D40" w:rsidRPr="00B672CA" w:rsidRDefault="00D25D40" w:rsidP="00371C61">
            <w:pPr>
              <w:pStyle w:val="Tabletext"/>
            </w:pPr>
          </w:p>
        </w:tc>
      </w:tr>
      <w:tr w:rsidR="00D25D40" w:rsidRPr="00B672CA" w14:paraId="391C59E9" w14:textId="77777777" w:rsidTr="00696322">
        <w:tc>
          <w:tcPr>
            <w:tcW w:w="3954" w:type="dxa"/>
            <w:shd w:val="clear" w:color="auto" w:fill="auto"/>
          </w:tcPr>
          <w:p w14:paraId="4D0C69E4" w14:textId="77777777" w:rsidR="00D25D40" w:rsidRPr="00B672CA" w:rsidRDefault="00D25D40" w:rsidP="00371C61">
            <w:pPr>
              <w:pStyle w:val="Tabletext"/>
            </w:pPr>
            <w:r w:rsidRPr="00B672CA">
              <w:t>Agribusiness sector takes advantage of lack of clarity in rules and/ or weak enforcement of the Forest Code</w:t>
            </w:r>
          </w:p>
        </w:tc>
        <w:tc>
          <w:tcPr>
            <w:tcW w:w="851" w:type="dxa"/>
            <w:shd w:val="clear" w:color="auto" w:fill="auto"/>
          </w:tcPr>
          <w:p w14:paraId="7047301C" w14:textId="77777777" w:rsidR="00D25D40" w:rsidRPr="00B672CA" w:rsidRDefault="00D25D40" w:rsidP="00371C61">
            <w:pPr>
              <w:pStyle w:val="Tabletext"/>
            </w:pPr>
            <w:r w:rsidRPr="00B672CA">
              <w:t>M</w:t>
            </w:r>
          </w:p>
        </w:tc>
        <w:tc>
          <w:tcPr>
            <w:tcW w:w="6024" w:type="dxa"/>
            <w:shd w:val="clear" w:color="auto" w:fill="auto"/>
          </w:tcPr>
          <w:p w14:paraId="760D8BAB" w14:textId="4294F300" w:rsidR="00D25D40" w:rsidRPr="00B672CA" w:rsidRDefault="00D25D40" w:rsidP="00371C61">
            <w:pPr>
              <w:pStyle w:val="Tabletext"/>
            </w:pPr>
            <w:r w:rsidRPr="00B672CA">
              <w:t>Convince the agribusiness sector of the potential benefits of F</w:t>
            </w:r>
            <w:r w:rsidR="000772AF" w:rsidRPr="00B672CA">
              <w:t xml:space="preserve">orest </w:t>
            </w:r>
            <w:r w:rsidRPr="00B672CA">
              <w:t>C</w:t>
            </w:r>
            <w:r w:rsidR="000772AF" w:rsidRPr="00B672CA">
              <w:t>ode</w:t>
            </w:r>
            <w:r w:rsidRPr="00B672CA">
              <w:t xml:space="preserve"> compliance, by linking it to investment opportunities and market requirements. </w:t>
            </w:r>
          </w:p>
          <w:p w14:paraId="00B415BD" w14:textId="77777777" w:rsidR="00D25D40" w:rsidRPr="00B672CA" w:rsidRDefault="00D25D40" w:rsidP="00371C61">
            <w:pPr>
              <w:pStyle w:val="Tabletext"/>
            </w:pPr>
            <w:r w:rsidRPr="00B672CA">
              <w:t xml:space="preserve">Create best practice with front-runner producers (likely larger producers) to build the business case for others. </w:t>
            </w:r>
          </w:p>
          <w:p w14:paraId="17B29575" w14:textId="3F50F9AB" w:rsidR="00D25D40" w:rsidRPr="00B672CA" w:rsidRDefault="00D25D40" w:rsidP="00371C61">
            <w:pPr>
              <w:pStyle w:val="Tabletext"/>
            </w:pPr>
            <w:r w:rsidRPr="00B672CA">
              <w:t>Policy dialogue with State and Federal Government to ensure clarification of specific elements of the F</w:t>
            </w:r>
            <w:r w:rsidR="000772AF" w:rsidRPr="00B672CA">
              <w:t xml:space="preserve">orest </w:t>
            </w:r>
            <w:r w:rsidRPr="00B672CA">
              <w:t>C</w:t>
            </w:r>
            <w:r w:rsidR="000772AF" w:rsidRPr="00B672CA">
              <w:t>ode</w:t>
            </w:r>
            <w:r w:rsidRPr="00B672CA">
              <w:t xml:space="preserve"> through </w:t>
            </w:r>
            <w:r w:rsidR="000405C3" w:rsidRPr="00B672CA">
              <w:t>issuance of further regulations</w:t>
            </w:r>
          </w:p>
        </w:tc>
      </w:tr>
      <w:tr w:rsidR="00D25D40" w:rsidRPr="00B672CA" w14:paraId="2136F175" w14:textId="77777777" w:rsidTr="00696322">
        <w:tc>
          <w:tcPr>
            <w:tcW w:w="3954" w:type="dxa"/>
            <w:shd w:val="clear" w:color="auto" w:fill="auto"/>
          </w:tcPr>
          <w:p w14:paraId="0FB20BAA" w14:textId="77777777" w:rsidR="00D25D40" w:rsidRPr="00B672CA" w:rsidRDefault="00D25D40" w:rsidP="00371C61">
            <w:pPr>
              <w:pStyle w:val="Tabletext"/>
            </w:pPr>
            <w:r w:rsidRPr="00B672CA">
              <w:t>Continuation of the economic crisis in Brazil may limit the appetite of farmers and investors to invest in intensification and restoration</w:t>
            </w:r>
          </w:p>
        </w:tc>
        <w:tc>
          <w:tcPr>
            <w:tcW w:w="851" w:type="dxa"/>
            <w:shd w:val="clear" w:color="auto" w:fill="auto"/>
          </w:tcPr>
          <w:p w14:paraId="3C76239E" w14:textId="77777777" w:rsidR="00D25D40" w:rsidRPr="00B672CA" w:rsidRDefault="00D25D40" w:rsidP="00371C61">
            <w:pPr>
              <w:pStyle w:val="Tabletext"/>
            </w:pPr>
            <w:r w:rsidRPr="00B672CA">
              <w:t>M</w:t>
            </w:r>
          </w:p>
        </w:tc>
        <w:tc>
          <w:tcPr>
            <w:tcW w:w="6024" w:type="dxa"/>
            <w:shd w:val="clear" w:color="auto" w:fill="auto"/>
          </w:tcPr>
          <w:p w14:paraId="1B413A58" w14:textId="77777777" w:rsidR="00D25D40" w:rsidRPr="00B672CA" w:rsidRDefault="00D25D40" w:rsidP="00371C61">
            <w:pPr>
              <w:pStyle w:val="Tabletext"/>
            </w:pPr>
            <w:r w:rsidRPr="00B672CA">
              <w:t xml:space="preserve">Create best practice with front-runner producers (likely larger producers) to build the business case for others. </w:t>
            </w:r>
          </w:p>
          <w:p w14:paraId="3068028F" w14:textId="6B3AADE1" w:rsidR="00D25D40" w:rsidRPr="00B672CA" w:rsidRDefault="00005AAD" w:rsidP="00371C61">
            <w:pPr>
              <w:pStyle w:val="Tabletext"/>
            </w:pPr>
            <w:r w:rsidRPr="00B672CA">
              <w:t>&amp;Green Fund</w:t>
            </w:r>
            <w:r w:rsidR="00D25D40" w:rsidRPr="00B672CA">
              <w:t xml:space="preserve"> will include the de-risking of country risk. When capital is more expensive on the market, the benefits of the de-risking facility will be more pronounced.</w:t>
            </w:r>
          </w:p>
        </w:tc>
      </w:tr>
      <w:tr w:rsidR="00D25D40" w:rsidRPr="00B672CA" w14:paraId="31ECB34D" w14:textId="77777777" w:rsidTr="00696322">
        <w:tc>
          <w:tcPr>
            <w:tcW w:w="3954" w:type="dxa"/>
            <w:shd w:val="clear" w:color="auto" w:fill="auto"/>
          </w:tcPr>
          <w:p w14:paraId="53D9D03F" w14:textId="77777777" w:rsidR="00D25D40" w:rsidRPr="00B672CA" w:rsidRDefault="00D25D40" w:rsidP="00371C61">
            <w:pPr>
              <w:pStyle w:val="Tabletext"/>
            </w:pPr>
            <w:r w:rsidRPr="00B672CA">
              <w:t>Know-how and technology for the restoration economy is there, but needs to be scaled up and made available to general public</w:t>
            </w:r>
          </w:p>
        </w:tc>
        <w:tc>
          <w:tcPr>
            <w:tcW w:w="851" w:type="dxa"/>
            <w:shd w:val="clear" w:color="auto" w:fill="auto"/>
          </w:tcPr>
          <w:p w14:paraId="6616EA4F" w14:textId="77777777" w:rsidR="00D25D40" w:rsidRPr="00B672CA" w:rsidRDefault="00D25D40" w:rsidP="00371C61">
            <w:pPr>
              <w:pStyle w:val="Tabletext"/>
            </w:pPr>
            <w:r w:rsidRPr="00B672CA">
              <w:t>H</w:t>
            </w:r>
          </w:p>
        </w:tc>
        <w:tc>
          <w:tcPr>
            <w:tcW w:w="6024" w:type="dxa"/>
            <w:shd w:val="clear" w:color="auto" w:fill="auto"/>
          </w:tcPr>
          <w:p w14:paraId="1827C858" w14:textId="77777777" w:rsidR="00D25D40" w:rsidRPr="00B672CA" w:rsidRDefault="00D25D40" w:rsidP="00371C61">
            <w:pPr>
              <w:pStyle w:val="Tabletext"/>
            </w:pPr>
            <w:r w:rsidRPr="00B672CA">
              <w:t>Work closely with Federal institutes and private sector to accelerate the innovation process.</w:t>
            </w:r>
          </w:p>
          <w:p w14:paraId="493DA42C" w14:textId="77777777" w:rsidR="00D25D40" w:rsidRPr="00B672CA" w:rsidRDefault="00D25D40" w:rsidP="00371C61">
            <w:pPr>
              <w:pStyle w:val="Tabletext"/>
            </w:pPr>
            <w:r w:rsidRPr="00B672CA">
              <w:t xml:space="preserve">Pilot sub-projects (especially PRA Combo and PRA Teles) will be scaling up the restoration economy. </w:t>
            </w:r>
          </w:p>
          <w:p w14:paraId="5CCFFB68" w14:textId="77777777" w:rsidR="00D25D40" w:rsidRPr="00B672CA" w:rsidRDefault="00D25D40" w:rsidP="00371C61">
            <w:pPr>
              <w:pStyle w:val="Tabletext"/>
            </w:pPr>
            <w:r w:rsidRPr="00B672CA">
              <w:t xml:space="preserve">Partnering with IPAM, ICV, TNC, SRB, WWF, Conservation International, and others. </w:t>
            </w:r>
          </w:p>
        </w:tc>
      </w:tr>
      <w:tr w:rsidR="00D25D40" w:rsidRPr="00B672CA" w14:paraId="1BCCC047" w14:textId="77777777" w:rsidTr="00696322">
        <w:tc>
          <w:tcPr>
            <w:tcW w:w="3954" w:type="dxa"/>
            <w:shd w:val="clear" w:color="auto" w:fill="auto"/>
          </w:tcPr>
          <w:p w14:paraId="60A767BD" w14:textId="77777777" w:rsidR="00D25D40" w:rsidRPr="00B672CA" w:rsidRDefault="00D25D40" w:rsidP="00371C61">
            <w:pPr>
              <w:pStyle w:val="Tabletext"/>
            </w:pPr>
            <w:r w:rsidRPr="00B672CA">
              <w:t>High soy and beef prices and land speculation cause illegal deforestation, undermining the production protection agenda</w:t>
            </w:r>
          </w:p>
        </w:tc>
        <w:tc>
          <w:tcPr>
            <w:tcW w:w="851" w:type="dxa"/>
            <w:shd w:val="clear" w:color="auto" w:fill="auto"/>
          </w:tcPr>
          <w:p w14:paraId="1143A48A" w14:textId="77777777" w:rsidR="00D25D40" w:rsidRPr="00B672CA" w:rsidRDefault="00D25D40" w:rsidP="00371C61">
            <w:pPr>
              <w:pStyle w:val="Tabletext"/>
            </w:pPr>
            <w:r w:rsidRPr="00B672CA">
              <w:t>H</w:t>
            </w:r>
          </w:p>
        </w:tc>
        <w:tc>
          <w:tcPr>
            <w:tcW w:w="6024" w:type="dxa"/>
            <w:shd w:val="clear" w:color="auto" w:fill="auto"/>
          </w:tcPr>
          <w:p w14:paraId="6B0C04AB" w14:textId="77777777" w:rsidR="00D25D40" w:rsidRPr="00B672CA" w:rsidRDefault="00D25D40" w:rsidP="00371C61">
            <w:pPr>
              <w:pStyle w:val="Tabletext"/>
            </w:pPr>
            <w:r w:rsidRPr="00B672CA">
              <w:t>Work on improving enforcement by the government, with a focus on the top-10 municipalities.</w:t>
            </w:r>
          </w:p>
          <w:p w14:paraId="471BF959" w14:textId="77777777" w:rsidR="00D25D40" w:rsidRPr="00B672CA" w:rsidRDefault="00D25D40" w:rsidP="00371C61">
            <w:pPr>
              <w:pStyle w:val="Tabletext"/>
            </w:pPr>
            <w:r w:rsidRPr="00B672CA">
              <w:t>Partnering with national and international civil society organizations and platforms such as CGF/ TFA to hold federal and state governments accountable to their commitments.</w:t>
            </w:r>
          </w:p>
          <w:p w14:paraId="1739B476" w14:textId="77777777" w:rsidR="00D25D40" w:rsidRPr="00B672CA" w:rsidRDefault="00D25D40" w:rsidP="00371C61">
            <w:pPr>
              <w:pStyle w:val="Tabletext"/>
            </w:pPr>
            <w:r w:rsidRPr="00B672CA">
              <w:t>Prepare a communication plan to explain to stakeholders what is happening</w:t>
            </w:r>
          </w:p>
        </w:tc>
      </w:tr>
    </w:tbl>
    <w:p w14:paraId="18F91A1E" w14:textId="77777777" w:rsidR="00D25D40" w:rsidRPr="00B672CA" w:rsidRDefault="00D25D40" w:rsidP="00371C61">
      <w:pPr>
        <w:pStyle w:val="Tablenotes"/>
      </w:pPr>
      <w:r w:rsidRPr="00B672CA">
        <w:t>Note: H=high, M=medium, L=low</w:t>
      </w:r>
    </w:p>
    <w:p w14:paraId="276BBED3" w14:textId="77777777" w:rsidR="00D25D40" w:rsidRPr="00B672CA" w:rsidRDefault="00D25D40" w:rsidP="00DE1086">
      <w:pPr>
        <w:pStyle w:val="Heading1"/>
        <w:rPr>
          <w:lang w:val="en-US"/>
        </w:rPr>
      </w:pPr>
      <w:r w:rsidRPr="00B672CA">
        <w:rPr>
          <w:lang w:val="en-US"/>
        </w:rPr>
        <w:t>A.6 Institutional Arrangements and Coordination</w:t>
      </w:r>
    </w:p>
    <w:p w14:paraId="6B847AE4" w14:textId="77777777" w:rsidR="00D25D40" w:rsidRPr="00B672CA" w:rsidRDefault="00D25D40" w:rsidP="00D25D40">
      <w:pPr>
        <w:pStyle w:val="Heading2"/>
      </w:pPr>
      <w:r w:rsidRPr="00B672CA">
        <w:t>Institutional arrangements</w:t>
      </w:r>
    </w:p>
    <w:p w14:paraId="546B7FA7" w14:textId="0B50208D" w:rsidR="00D25D40" w:rsidRPr="00B672CA" w:rsidRDefault="00303F27" w:rsidP="00B37DAC">
      <w:pPr>
        <w:pStyle w:val="Para"/>
      </w:pPr>
      <w:r w:rsidRPr="00B672CA">
        <w:t xml:space="preserve">The governance structure of the </w:t>
      </w:r>
      <w:r w:rsidR="00005AAD" w:rsidRPr="00B672CA">
        <w:t>&amp;Green Fund</w:t>
      </w:r>
      <w:r w:rsidRPr="00B672CA">
        <w:t xml:space="preserve"> is provided below. Further details on membership of the different governing bodies within this structure are available at </w:t>
      </w:r>
      <w:hyperlink r:id="rId13" w:anchor="governance-of-the-fund" w:history="1">
        <w:r w:rsidR="00F20A19" w:rsidRPr="00B672CA">
          <w:rPr>
            <w:rStyle w:val="Hyperlink"/>
          </w:rPr>
          <w:t>http://www.</w:t>
        </w:r>
        <w:r w:rsidR="00005AAD" w:rsidRPr="00B672CA">
          <w:rPr>
            <w:rStyle w:val="Hyperlink"/>
          </w:rPr>
          <w:t>&amp;Green Fund</w:t>
        </w:r>
        <w:r w:rsidR="00F20A19" w:rsidRPr="00B672CA">
          <w:rPr>
            <w:rStyle w:val="Hyperlink"/>
          </w:rPr>
          <w:t>/#governance-of-the-fund</w:t>
        </w:r>
      </w:hyperlink>
      <w:r w:rsidRPr="00B672CA">
        <w:t>.</w:t>
      </w:r>
    </w:p>
    <w:p w14:paraId="68E89E5D" w14:textId="68C2C28C" w:rsidR="008F6880" w:rsidRPr="00B672CA" w:rsidRDefault="008F6880" w:rsidP="00B37DAC">
      <w:pPr>
        <w:pStyle w:val="Para"/>
      </w:pPr>
      <w:r w:rsidRPr="00B672CA">
        <w:t xml:space="preserve">The </w:t>
      </w:r>
      <w:r w:rsidR="00005AAD" w:rsidRPr="00B672CA">
        <w:t>&amp;Green Fund</w:t>
      </w:r>
      <w:r w:rsidRPr="00B672CA">
        <w:t xml:space="preserve"> consists of a Board of Directors</w:t>
      </w:r>
      <w:r w:rsidR="00353269" w:rsidRPr="00B672CA">
        <w:t xml:space="preserve"> (BoD)</w:t>
      </w:r>
      <w:r w:rsidRPr="00B672CA">
        <w:t xml:space="preserve">, an Advisory Board and a Credit Committee. Furthermore, an independent Investment Advisor, </w:t>
      </w:r>
      <w:hyperlink r:id="rId14" w:history="1">
        <w:r w:rsidRPr="00B672CA">
          <w:rPr>
            <w:rStyle w:val="Hyperlink"/>
          </w:rPr>
          <w:t>Sail Ventures</w:t>
        </w:r>
      </w:hyperlink>
      <w:r w:rsidRPr="00B672CA">
        <w:t>, has been hired to develop and structure ‘production, protection and inclusion’ (PPI) deals, including arranging for co-finance from supply chain companies and development/</w:t>
      </w:r>
      <w:r w:rsidR="00353269" w:rsidRPr="00B672CA">
        <w:t xml:space="preserve"> </w:t>
      </w:r>
      <w:r w:rsidRPr="00B672CA">
        <w:t xml:space="preserve">commercial banks. </w:t>
      </w:r>
    </w:p>
    <w:p w14:paraId="1F35E518" w14:textId="3005919D" w:rsidR="00F72EF7" w:rsidRPr="00B672CA" w:rsidRDefault="00F72EF7" w:rsidP="00B37DAC">
      <w:pPr>
        <w:pStyle w:val="Para"/>
      </w:pPr>
      <w:r w:rsidRPr="00B672CA">
        <w:t xml:space="preserve">As a first step, any deal can only be approved by the </w:t>
      </w:r>
      <w:r w:rsidR="00005AAD" w:rsidRPr="00B672CA">
        <w:t>&amp;Green Fund</w:t>
      </w:r>
      <w:r w:rsidRPr="00B672CA">
        <w:t xml:space="preserve"> if it is situated in a jurisdiction (national or sub-national administrative unit) where the authorities demonstrate commitment to, and are making progress on, reducing deforestation. The Lending Policy outlines five broad jurisdictional eligibility criteria (the “JEC”). UN Environment will provide a supporting role by advising on the JEC </w:t>
      </w:r>
      <w:r w:rsidR="002626A0">
        <w:t>in the</w:t>
      </w:r>
      <w:r w:rsidRPr="00B672CA">
        <w:t xml:space="preserve"> Advisory Board</w:t>
      </w:r>
      <w:r w:rsidR="00DE2501">
        <w:t xml:space="preserve"> or another relevant body part of the &amp;Green Fund. </w:t>
      </w:r>
      <w:r w:rsidRPr="00B672CA">
        <w:t xml:space="preserve">. </w:t>
      </w:r>
    </w:p>
    <w:p w14:paraId="71A28044" w14:textId="08CEBFB7" w:rsidR="00F72EF7" w:rsidRDefault="00F72EF7" w:rsidP="00B37DAC">
      <w:pPr>
        <w:pStyle w:val="Para"/>
      </w:pPr>
      <w:r w:rsidRPr="00B672CA">
        <w:t xml:space="preserve">Once a jurisdiction complies with the JEC, the </w:t>
      </w:r>
      <w:r w:rsidR="00005AAD" w:rsidRPr="00B672CA">
        <w:t>&amp;Green Fund</w:t>
      </w:r>
      <w:r w:rsidRPr="00B672CA">
        <w:t xml:space="preserve"> has the ability to finance projects that meet its mandate. Deals will be developed and structured by the Investment Advisor. Upon conclusion these will be sent to the </w:t>
      </w:r>
      <w:r w:rsidR="00005AAD" w:rsidRPr="00B672CA">
        <w:t>&amp;Green Fund</w:t>
      </w:r>
      <w:r w:rsidRPr="00B672CA">
        <w:t xml:space="preserve">. The Credit Committee will then evaluate not only the credit worthiness of the borrower and the financial liability for the </w:t>
      </w:r>
      <w:r w:rsidR="00005AAD" w:rsidRPr="00B672CA">
        <w:t>&amp;Green Fund</w:t>
      </w:r>
      <w:r w:rsidRPr="00B672CA">
        <w:t xml:space="preserve"> but also takes into consideration in an integral manner the environmental and social aspects to comply with the lending policy of the </w:t>
      </w:r>
      <w:r w:rsidR="00005AAD" w:rsidRPr="00B672CA">
        <w:t>&amp;Green Fund</w:t>
      </w:r>
      <w:r w:rsidRPr="00B672CA">
        <w:t xml:space="preserve"> and the social and environmental risk management system (ESMS). Upon recommendation by the Credit Committee, each project is approved by the Board of Directors. A schematic overview of the governance of the </w:t>
      </w:r>
      <w:r w:rsidR="00005AAD" w:rsidRPr="00B672CA">
        <w:t>&amp;Green Fund</w:t>
      </w:r>
      <w:r w:rsidRPr="00B672CA">
        <w:t xml:space="preserve"> is provided in Figure 1.</w:t>
      </w:r>
    </w:p>
    <w:p w14:paraId="7E9D7218" w14:textId="77777777" w:rsidR="00F049E5" w:rsidRPr="00B672CA" w:rsidRDefault="00F049E5" w:rsidP="00F049E5">
      <w:pPr>
        <w:pStyle w:val="Para"/>
        <w:numPr>
          <w:ilvl w:val="0"/>
          <w:numId w:val="0"/>
        </w:numPr>
      </w:pPr>
    </w:p>
    <w:p w14:paraId="16BFA51B" w14:textId="37972B64" w:rsidR="00F72EF7" w:rsidRPr="00280BF9" w:rsidRDefault="00F72EF7" w:rsidP="00D46460">
      <w:pPr>
        <w:pStyle w:val="Tableheading"/>
      </w:pPr>
      <w:r w:rsidRPr="00280BF9">
        <w:t xml:space="preserve">Figure 1: Governance structure of the </w:t>
      </w:r>
      <w:r w:rsidR="00005AAD" w:rsidRPr="00280BF9">
        <w:t>&amp;Green Fund</w:t>
      </w:r>
    </w:p>
    <w:p w14:paraId="21E943AD" w14:textId="77777777" w:rsidR="00071954" w:rsidRDefault="00071954" w:rsidP="00D46460">
      <w:pPr>
        <w:pStyle w:val="Tableheading"/>
      </w:pPr>
    </w:p>
    <w:p w14:paraId="0CD61765" w14:textId="6116C17E" w:rsidR="00071954" w:rsidRPr="00B672CA" w:rsidRDefault="00F049E5" w:rsidP="00D46460">
      <w:pPr>
        <w:pStyle w:val="Tableheading"/>
      </w:pPr>
      <w:r>
        <w:rPr>
          <w:noProof/>
          <w:lang w:val="en-US"/>
        </w:rPr>
        <w:drawing>
          <wp:inline distT="0" distB="0" distL="0" distR="0" wp14:anchorId="30398391" wp14:editId="1BA1F072">
            <wp:extent cx="6028529" cy="553117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40068" cy="5541762"/>
                    </a:xfrm>
                    <a:prstGeom prst="rect">
                      <a:avLst/>
                    </a:prstGeom>
                    <a:noFill/>
                  </pic:spPr>
                </pic:pic>
              </a:graphicData>
            </a:graphic>
          </wp:inline>
        </w:drawing>
      </w:r>
    </w:p>
    <w:p w14:paraId="379F9E95" w14:textId="77777777" w:rsidR="00825FC5" w:rsidRPr="00B672CA" w:rsidRDefault="00825FC5" w:rsidP="00B37DAC">
      <w:pPr>
        <w:pStyle w:val="Para"/>
        <w:numPr>
          <w:ilvl w:val="0"/>
          <w:numId w:val="0"/>
        </w:numPr>
      </w:pPr>
    </w:p>
    <w:p w14:paraId="65250687" w14:textId="6EDE5B76" w:rsidR="00F72EF7" w:rsidRPr="00280BF9" w:rsidRDefault="00F72EF7" w:rsidP="00B70670">
      <w:pPr>
        <w:pStyle w:val="Para"/>
      </w:pPr>
      <w:r w:rsidRPr="00B672CA">
        <w:t xml:space="preserve">The </w:t>
      </w:r>
      <w:r w:rsidR="00005AAD" w:rsidRPr="00B672CA">
        <w:t>&amp;Green Fund</w:t>
      </w:r>
      <w:r w:rsidRPr="00B672CA">
        <w:t xml:space="preserve"> will act as executing agency for the overall project, with all associated responsibilities. After the endorsement of the GEF CEO to UN Environment and before project start, an executing agency agreement will be signed between UN Environment and the </w:t>
      </w:r>
      <w:r w:rsidR="00005AAD" w:rsidRPr="00B672CA">
        <w:t>&amp;Green Fund</w:t>
      </w:r>
      <w:r w:rsidRPr="00B672CA">
        <w:t xml:space="preserve">. Investment Advisor (Sail Ventures) will assume the Project Management Unit (PMU) role. </w:t>
      </w:r>
      <w:r w:rsidR="00674B66" w:rsidRPr="00B672CA">
        <w:t xml:space="preserve">The roles of the executing agency and the implementing agency have been further clarified in Annex </w:t>
      </w:r>
      <w:r w:rsidR="002F3EB2" w:rsidRPr="00B672CA">
        <w:t>R</w:t>
      </w:r>
      <w:r w:rsidR="00674B66" w:rsidRPr="00B672CA">
        <w:t xml:space="preserve"> Project Implementation Arrangements. </w:t>
      </w:r>
      <w:r w:rsidRPr="00B672CA">
        <w:t xml:space="preserve">The PMU will be responsible for the implementation of project outputs, monitoring and reporting, liaising with project partners, and ensuring project execution. Furthermore, the PMU will provide support for the mid-term review/ evaluation and the terminal evaluation of the project. In order to ensure proper coordination of the project, the Investment Advisor will appoint/ nominate a Project Manager, who will be responsible for ensuring the effective, efficient and timely implementation of project activities and for leading the </w:t>
      </w:r>
      <w:r w:rsidRPr="00280BF9">
        <w:t>implementation of agreed actions.</w:t>
      </w:r>
      <w:r w:rsidR="00B70670" w:rsidRPr="00280BF9">
        <w:t xml:space="preserve"> The Implementing Agency – Executing Agency relationship will continue until the end of the repayment of the non-grant.</w:t>
      </w:r>
    </w:p>
    <w:p w14:paraId="3A8624E1" w14:textId="77777777" w:rsidR="00F049E5" w:rsidRDefault="00F049E5" w:rsidP="00D46460">
      <w:pPr>
        <w:pStyle w:val="Tableheading"/>
      </w:pPr>
    </w:p>
    <w:p w14:paraId="0B4CED3D" w14:textId="77777777" w:rsidR="00F049E5" w:rsidRDefault="00F049E5" w:rsidP="00D46460">
      <w:pPr>
        <w:pStyle w:val="Tableheading"/>
      </w:pPr>
    </w:p>
    <w:p w14:paraId="6B60D938" w14:textId="77777777" w:rsidR="00F049E5" w:rsidRDefault="00F049E5" w:rsidP="00D46460">
      <w:pPr>
        <w:pStyle w:val="Tableheading"/>
      </w:pPr>
    </w:p>
    <w:p w14:paraId="7F81CB3C" w14:textId="77777777" w:rsidR="00F049E5" w:rsidRDefault="00F049E5" w:rsidP="00D46460">
      <w:pPr>
        <w:pStyle w:val="Tableheading"/>
      </w:pPr>
    </w:p>
    <w:p w14:paraId="0663E054" w14:textId="77777777" w:rsidR="00F049E5" w:rsidRDefault="00F049E5" w:rsidP="00D46460">
      <w:pPr>
        <w:pStyle w:val="Tableheading"/>
      </w:pPr>
    </w:p>
    <w:p w14:paraId="7425EE32" w14:textId="6D704069" w:rsidR="00825FC5" w:rsidRPr="00B672CA" w:rsidRDefault="00825FC5" w:rsidP="00D46460">
      <w:pPr>
        <w:pStyle w:val="Tableheading"/>
      </w:pPr>
      <w:r w:rsidRPr="00B672CA">
        <w:t xml:space="preserve">Figure 2: Project management structure for the GEF </w:t>
      </w:r>
    </w:p>
    <w:p w14:paraId="587852FE" w14:textId="77777777" w:rsidR="00F72EF7" w:rsidRPr="00B672CA" w:rsidRDefault="00F72EF7" w:rsidP="00B37DAC">
      <w:pPr>
        <w:pStyle w:val="Para"/>
        <w:numPr>
          <w:ilvl w:val="0"/>
          <w:numId w:val="0"/>
        </w:numPr>
      </w:pPr>
      <w:r w:rsidRPr="00B672CA">
        <w:rPr>
          <w:noProof/>
        </w:rPr>
        <mc:AlternateContent>
          <mc:Choice Requires="wps">
            <w:drawing>
              <wp:anchor distT="0" distB="0" distL="114300" distR="114300" simplePos="0" relativeHeight="251672576" behindDoc="0" locked="0" layoutInCell="1" allowOverlap="1" wp14:anchorId="3B4E091E" wp14:editId="1EB6FFC9">
                <wp:simplePos x="0" y="0"/>
                <wp:positionH relativeFrom="column">
                  <wp:posOffset>3486150</wp:posOffset>
                </wp:positionH>
                <wp:positionV relativeFrom="paragraph">
                  <wp:posOffset>2838450</wp:posOffset>
                </wp:positionV>
                <wp:extent cx="800100" cy="3905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800100" cy="3905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7F052E3" w14:textId="77777777" w:rsidR="004041F3" w:rsidRPr="002D6E4F" w:rsidRDefault="004041F3" w:rsidP="00F72EF7">
                            <w:pPr>
                              <w:jc w:val="center"/>
                              <w:rPr>
                                <w:sz w:val="18"/>
                              </w:rPr>
                            </w:pPr>
                            <w:r w:rsidRPr="002D6E4F">
                              <w:rPr>
                                <w:sz w:val="18"/>
                              </w:rPr>
                              <w:t>Executing Agency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4E091E" id="Rectangle 7" o:spid="_x0000_s1026" style="position:absolute;margin-left:274.5pt;margin-top:223.5pt;width:63pt;height:30.7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" fillcolor="white [3201]" strokecolor="#70ad47 [3209]" strokeweight="1pt">
                <v:textbox>
                  <w:txbxContent>
                    <w:p w14:paraId="77F052E3" w14:textId="77777777" w:rsidR="004041F3" w:rsidRPr="002D6E4F" w:rsidRDefault="004041F3" w:rsidP="00F72EF7">
                      <w:pPr>
                        <w:jc w:val="center"/>
                        <w:rPr>
                          <w:sz w:val="18"/>
                        </w:rPr>
                      </w:pPr>
                      <w:r w:rsidRPr="002D6E4F">
                        <w:rPr>
                          <w:sz w:val="18"/>
                        </w:rPr>
                        <w:t>Executing Agency</w:t>
                      </w:r>
                    </w:p>
                  </w:txbxContent>
                </v:textbox>
              </v:rect>
            </w:pict>
          </mc:Fallback>
        </mc:AlternateContent>
      </w:r>
      <w:r w:rsidRPr="00B672CA">
        <w:rPr>
          <w:noProof/>
        </w:rPr>
        <mc:AlternateContent>
          <mc:Choice Requires="wps">
            <w:drawing>
              <wp:anchor distT="0" distB="0" distL="114300" distR="114300" simplePos="0" relativeHeight="251657216" behindDoc="0" locked="0" layoutInCell="1" allowOverlap="1" wp14:anchorId="690E1AB5" wp14:editId="6D7F88F9">
                <wp:simplePos x="0" y="0"/>
                <wp:positionH relativeFrom="column">
                  <wp:posOffset>3457575</wp:posOffset>
                </wp:positionH>
                <wp:positionV relativeFrom="paragraph">
                  <wp:posOffset>1809750</wp:posOffset>
                </wp:positionV>
                <wp:extent cx="762000" cy="3905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762000" cy="3905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A63DB02" w14:textId="77777777" w:rsidR="004041F3" w:rsidRPr="002D6E4F" w:rsidRDefault="004041F3" w:rsidP="00F72EF7">
                            <w:pPr>
                              <w:jc w:val="center"/>
                              <w:rPr>
                                <w:sz w:val="14"/>
                              </w:rPr>
                            </w:pPr>
                            <w:r w:rsidRPr="002D6E4F">
                              <w:rPr>
                                <w:sz w:val="14"/>
                              </w:rPr>
                              <w:t>Implementing Agency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0E1AB5" id="Rectangle 6" o:spid="_x0000_s1027" style="position:absolute;margin-left:272.25pt;margin-top:142.5pt;width:60pt;height:30.7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" fillcolor="white [3201]" strokecolor="#70ad47 [3209]" strokeweight="1pt">
                <v:textbox>
                  <w:txbxContent>
                    <w:p w14:paraId="3A63DB02" w14:textId="77777777" w:rsidR="004041F3" w:rsidRPr="002D6E4F" w:rsidRDefault="004041F3" w:rsidP="00F72EF7">
                      <w:pPr>
                        <w:jc w:val="center"/>
                        <w:rPr>
                          <w:sz w:val="14"/>
                        </w:rPr>
                      </w:pPr>
                      <w:r w:rsidRPr="002D6E4F">
                        <w:rPr>
                          <w:sz w:val="14"/>
                        </w:rPr>
                        <w:t>Implementing Agency</w:t>
                      </w:r>
                    </w:p>
                  </w:txbxContent>
                </v:textbox>
              </v:rect>
            </w:pict>
          </mc:Fallback>
        </mc:AlternateContent>
      </w:r>
      <w:r w:rsidRPr="00B672CA">
        <w:rPr>
          <w:noProof/>
        </w:rPr>
        <mc:AlternateContent>
          <mc:Choice Requires="wps">
            <w:drawing>
              <wp:anchor distT="0" distB="0" distL="114300" distR="114300" simplePos="0" relativeHeight="251641856" behindDoc="0" locked="0" layoutInCell="1" allowOverlap="1" wp14:anchorId="35E0157E" wp14:editId="50B6B92F">
                <wp:simplePos x="0" y="0"/>
                <wp:positionH relativeFrom="column">
                  <wp:posOffset>3371850</wp:posOffset>
                </wp:positionH>
                <wp:positionV relativeFrom="paragraph">
                  <wp:posOffset>590550</wp:posOffset>
                </wp:positionV>
                <wp:extent cx="619125" cy="39052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619125" cy="3905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907E8D2" w14:textId="77777777" w:rsidR="004041F3" w:rsidRDefault="004041F3" w:rsidP="00F72EF7">
                            <w:pPr>
                              <w:jc w:val="center"/>
                            </w:pPr>
                            <w:r>
                              <w:t>Donor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E0157E" id="Rectangle 4" o:spid="_x0000_s1028" style="position:absolute;margin-left:265.5pt;margin-top:46.5pt;width:48.75pt;height:30.75pt;z-index:25164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" fillcolor="white [3201]" strokecolor="#70ad47 [3209]" strokeweight="1pt">
                <v:textbox>
                  <w:txbxContent>
                    <w:p w14:paraId="5907E8D2" w14:textId="77777777" w:rsidR="004041F3" w:rsidRDefault="004041F3" w:rsidP="00F72EF7">
                      <w:pPr>
                        <w:jc w:val="center"/>
                      </w:pPr>
                      <w:r>
                        <w:t>Donor</w:t>
                      </w:r>
                    </w:p>
                  </w:txbxContent>
                </v:textbox>
              </v:rect>
            </w:pict>
          </mc:Fallback>
        </mc:AlternateContent>
      </w:r>
      <w:r w:rsidRPr="00B672CA">
        <w:rPr>
          <w:noProof/>
        </w:rPr>
        <w:drawing>
          <wp:inline distT="0" distB="0" distL="0" distR="0" wp14:anchorId="0F806B82" wp14:editId="15FFD61E">
            <wp:extent cx="5486400" cy="3200400"/>
            <wp:effectExtent l="0" t="0" r="0" b="190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0362D8D1" w14:textId="77777777" w:rsidR="00F72EF7" w:rsidRPr="00B672CA" w:rsidRDefault="00F72EF7" w:rsidP="00B37DAC">
      <w:pPr>
        <w:pStyle w:val="Para"/>
        <w:numPr>
          <w:ilvl w:val="0"/>
          <w:numId w:val="0"/>
        </w:numPr>
      </w:pPr>
    </w:p>
    <w:p w14:paraId="3B0D0934" w14:textId="3D2A882A" w:rsidR="00D25D40" w:rsidRPr="00B672CA" w:rsidRDefault="00D25D40" w:rsidP="00576855">
      <w:pPr>
        <w:pStyle w:val="Heading2"/>
      </w:pPr>
      <w:r w:rsidRPr="00B672CA">
        <w:t>Coordination with ongoing projects</w:t>
      </w:r>
    </w:p>
    <w:p w14:paraId="7E26DA11" w14:textId="77777777" w:rsidR="00D25D40" w:rsidRPr="00B672CA" w:rsidRDefault="00D25D40" w:rsidP="00B37DAC">
      <w:pPr>
        <w:pStyle w:val="Para"/>
      </w:pPr>
      <w:r w:rsidRPr="00B672CA">
        <w:t>The project will build on and coordinate with the following on-going projects:</w:t>
      </w:r>
    </w:p>
    <w:p w14:paraId="3388B7A3" w14:textId="77777777" w:rsidR="00D25D40" w:rsidRPr="00B672CA" w:rsidRDefault="00D25D40" w:rsidP="00F533BE">
      <w:pPr>
        <w:pStyle w:val="Bullets1"/>
      </w:pPr>
      <w:r w:rsidRPr="00B672CA">
        <w:t>Taking Deforestation out of Commodity Supply Chains: The GEF’s Commodities IAP aims to reduce the global impacts of agriculture commodities expansion on GHG emissions and biodiversity by meeting the growing demand for palm oil, soy and beef through supply that does not lead to deforestation. There will be strong complementarity between the IAP projects and the proposed project. The proposed project will benefit from and contribute to the Commodities IAP’s child project on adaptive management and learning.</w:t>
      </w:r>
    </w:p>
    <w:p w14:paraId="1EF9ACA0" w14:textId="77777777" w:rsidR="00D25D40" w:rsidRPr="00B672CA" w:rsidRDefault="00D25D40" w:rsidP="00F533BE">
      <w:pPr>
        <w:pStyle w:val="Bullets1"/>
      </w:pPr>
      <w:r w:rsidRPr="00B672CA">
        <w:t xml:space="preserve">Amazon Sustainable Landscapes Program: The program’s objective is to protect globally significant biodiversity and implement policies to foster sustainable land use and restoration of native vegetation cover. The program has a specific component on improving sector policies and regulations for the reduction of deforestation through an integrated landscape- and sector-based approach. The project will benefit from the capacity built by the program.    </w:t>
      </w:r>
    </w:p>
    <w:p w14:paraId="6B6049BE" w14:textId="2F0003D7" w:rsidR="00D25D40" w:rsidRPr="00B672CA" w:rsidRDefault="00D25D40" w:rsidP="00F533BE">
      <w:pPr>
        <w:pStyle w:val="Bullets1"/>
      </w:pPr>
      <w:r w:rsidRPr="00B672CA">
        <w:t>The new GEF Project that is under preparation, titled “Strengthening Forest Area Planning and Management in Kalimantan” will promote systemic long-term changes beyond the oil palm supply chain. The outputs of the proposed project will be taken as policy inputs</w:t>
      </w:r>
      <w:r w:rsidR="00C53EAC" w:rsidRPr="00B672CA">
        <w:t xml:space="preserve"> for strengthening forest area management and planning</w:t>
      </w:r>
      <w:r w:rsidRPr="00B672CA">
        <w:t>.</w:t>
      </w:r>
    </w:p>
    <w:p w14:paraId="67F9F322" w14:textId="77777777" w:rsidR="00D25D40" w:rsidRPr="00B672CA" w:rsidRDefault="00D25D40" w:rsidP="00F533BE">
      <w:pPr>
        <w:pStyle w:val="Bullets1"/>
      </w:pPr>
      <w:r w:rsidRPr="00B672CA">
        <w:t>Strengthening Forest and Ecosystem Connectivity in the RIMBA Landscape of Central Sumatra through Investing in Natural Capital, Biodiversity Conservation, and Land-based Emission Reductions: The RIMBA project aims to protect biodiversity and to increase carbon stocks across the RIMBA Corridor of Sumatra by enhancing forest ecosystem connectivity through green economic development. The RIMBA project will establish and build capacity for a green economy strategy. The proposed project will keep the RIMBA project informed about the proposed project’s activities in Sumatra and will seek collaboration.</w:t>
      </w:r>
    </w:p>
    <w:p w14:paraId="7AF15BF4" w14:textId="77777777" w:rsidR="00D25D40" w:rsidRPr="00B672CA" w:rsidRDefault="00D25D40" w:rsidP="00F533BE">
      <w:pPr>
        <w:pStyle w:val="Bullets1"/>
      </w:pPr>
      <w:r w:rsidRPr="00B672CA">
        <w:t xml:space="preserve">Realizing the Biodiversity Conservation Potential of Private Lands in Brazil: The project aims </w:t>
      </w:r>
      <w:bookmarkStart w:id="19" w:name="projectObjective"/>
      <w:r w:rsidRPr="00B672CA">
        <w:t xml:space="preserve">to scale up sustainable landscape management and improve biodiversity conservation and ecosystem services provision </w:t>
      </w:r>
      <w:bookmarkEnd w:id="19"/>
      <w:r w:rsidRPr="00B672CA">
        <w:t>in Brazilian private set-aside areas. The project will develop sectoral agreements with the forestry sector, containing SLM guidelines for private set-aside areas, and incentive packages will be created (tradable environmental certificates). The proposed project will collaborate with this national project on joint efforts in establishing agreements with economic sectors and identify possible synergies in development of incentive packages.</w:t>
      </w:r>
    </w:p>
    <w:p w14:paraId="1861A278" w14:textId="55AC72A3" w:rsidR="00D25D40" w:rsidRPr="00B672CA" w:rsidRDefault="00D25D40" w:rsidP="00F533BE">
      <w:pPr>
        <w:pStyle w:val="Bullets1"/>
      </w:pPr>
      <w:r w:rsidRPr="00B672CA">
        <w:t xml:space="preserve">UN-REDD Programme: This is a multi-donor programme focused on reducing emissions from deforestation and forest degradation in developing countries. Significant linkages can be exploited in efforts to engage the private sector in REDD+ implementation and on identifying financial mechanisms to take deforestation out of commodity supply chains. The proposed project will work with the UN-REDD Programme to ensure that the </w:t>
      </w:r>
      <w:r w:rsidR="00005AAD" w:rsidRPr="00B672CA">
        <w:t>&amp;Green Fund</w:t>
      </w:r>
      <w:r w:rsidRPr="00B672CA">
        <w:t xml:space="preserve"> is linked to the National REDD+ Strategies and related actions taken by partner governments to reduce/ remove emissions through a variety of policies and measures. The project will benefit from the following Programme outputs: (i) Identification of opportunities for collaboration with private sector companies and initiatives; (ii) Identification of potential zones for specific REDD+ policies and measures at subnational scale</w:t>
      </w:r>
      <w:r w:rsidR="00F20A19" w:rsidRPr="00B672CA">
        <w:t xml:space="preserve"> (which could support getting jurisdictions eligible for access to the </w:t>
      </w:r>
      <w:r w:rsidR="00005AAD" w:rsidRPr="00B672CA">
        <w:t>&amp;Green Fund</w:t>
      </w:r>
      <w:r w:rsidR="00F20A19" w:rsidRPr="00B672CA">
        <w:t>)</w:t>
      </w:r>
      <w:r w:rsidRPr="00B672CA">
        <w:t>.</w:t>
      </w:r>
    </w:p>
    <w:p w14:paraId="74A28EC3" w14:textId="77777777" w:rsidR="00D25D40" w:rsidRPr="00B672CA" w:rsidRDefault="00D25D40" w:rsidP="00D25D40">
      <w:pPr>
        <w:spacing w:after="0"/>
        <w:outlineLvl w:val="0"/>
        <w:rPr>
          <w:rFonts w:ascii="Times New Roman" w:hAnsi="Times New Roman"/>
        </w:rPr>
      </w:pPr>
    </w:p>
    <w:p w14:paraId="43F9E5D9" w14:textId="77777777" w:rsidR="00D25D40" w:rsidRPr="00B672CA" w:rsidRDefault="00D25D40" w:rsidP="00D25D40">
      <w:pPr>
        <w:spacing w:after="0"/>
        <w:outlineLvl w:val="0"/>
        <w:rPr>
          <w:rFonts w:ascii="Times New Roman" w:hAnsi="Times New Roman"/>
          <w:color w:val="000000"/>
          <w:u w:val="single"/>
        </w:rPr>
      </w:pPr>
      <w:r w:rsidRPr="00B672CA">
        <w:rPr>
          <w:rFonts w:ascii="Times New Roman" w:hAnsi="Times New Roman"/>
          <w:color w:val="000000"/>
          <w:u w:val="single"/>
        </w:rPr>
        <w:t>Additional information not well elaborated at PIF Stage:</w:t>
      </w:r>
    </w:p>
    <w:p w14:paraId="64F3881A" w14:textId="77777777" w:rsidR="00D25D40" w:rsidRPr="00B672CA" w:rsidRDefault="00D25D40" w:rsidP="00DE1086">
      <w:pPr>
        <w:pStyle w:val="Heading1"/>
        <w:rPr>
          <w:lang w:val="en-US"/>
        </w:rPr>
      </w:pPr>
      <w:r w:rsidRPr="00B672CA">
        <w:rPr>
          <w:lang w:val="en-US"/>
        </w:rPr>
        <w:t>A.7 Benefits</w:t>
      </w:r>
    </w:p>
    <w:p w14:paraId="6DB93837" w14:textId="77777777" w:rsidR="00D25D40" w:rsidRPr="00B672CA" w:rsidRDefault="00D25D40" w:rsidP="00D25D40">
      <w:pPr>
        <w:pStyle w:val="Heading3"/>
        <w:rPr>
          <w:lang w:val="en-US"/>
        </w:rPr>
      </w:pPr>
      <w:r w:rsidRPr="00B672CA">
        <w:rPr>
          <w:lang w:val="en-US"/>
        </w:rPr>
        <w:t>Describe the socioeconomic benefits to be delivered by the project at the national and local levels. How do these benefits translate in supporting the achievement of global environment benefits (GEF Trust Fund) or adaptation benefits (LDCF/SCCF)?</w:t>
      </w:r>
    </w:p>
    <w:p w14:paraId="75AE8FF6" w14:textId="24B8B77C" w:rsidR="00D25D40" w:rsidRPr="00B672CA" w:rsidRDefault="00D25D40" w:rsidP="00B37DAC">
      <w:pPr>
        <w:pStyle w:val="Para"/>
      </w:pPr>
      <w:r w:rsidRPr="00B672CA">
        <w:rPr>
          <w:rFonts w:eastAsia="Calibri"/>
        </w:rPr>
        <w:t xml:space="preserve">The </w:t>
      </w:r>
      <w:r w:rsidR="00005AAD" w:rsidRPr="00B672CA">
        <w:rPr>
          <w:rFonts w:eastAsia="Calibri"/>
        </w:rPr>
        <w:t>&amp;Green Fund</w:t>
      </w:r>
      <w:r w:rsidRPr="00B672CA">
        <w:rPr>
          <w:rFonts w:eastAsia="Calibri"/>
        </w:rPr>
        <w:t xml:space="preserve"> will deliver a range of socio-economic benefits in the target landscapes while, at the same time, increasing global environmental benefits in terms of reduced deforestation and land degradation.</w:t>
      </w:r>
      <w:r w:rsidR="00B465B2" w:rsidRPr="00B672CA">
        <w:rPr>
          <w:rFonts w:eastAsia="Calibri"/>
        </w:rPr>
        <w:t xml:space="preserve"> At the jurisdictional level (national or sub-national administrative unit) </w:t>
      </w:r>
      <w:r w:rsidR="009F6C31" w:rsidRPr="00B672CA">
        <w:rPr>
          <w:rFonts w:eastAsia="Calibri"/>
        </w:rPr>
        <w:t>authorities have to demonstrate commitment to, and making progress on, reducing deforestation. Such a commitment will then subsequently contribute to a country’s Nationally Determined Contribution (NDC). At the project level, any borrower will have to put in place a Landscape Protection Plan (LPP), which is a long-term land use management plan covering all areas of high carbon stock (HCS) and high conservation value (HCV) forests and peatlands within the project area through the project duration.</w:t>
      </w:r>
    </w:p>
    <w:p w14:paraId="2F2BE298" w14:textId="47D17868" w:rsidR="0091537C" w:rsidRPr="00B672CA" w:rsidRDefault="0091537C" w:rsidP="00B37DAC">
      <w:pPr>
        <w:pStyle w:val="Para"/>
      </w:pPr>
      <w:r w:rsidRPr="00B672CA">
        <w:t xml:space="preserve">The lending philosophy of the </w:t>
      </w:r>
      <w:r w:rsidR="00005AAD" w:rsidRPr="00B672CA">
        <w:t>&amp;Green Fund</w:t>
      </w:r>
      <w:r w:rsidRPr="00B672CA">
        <w:t xml:space="preserve"> is to demonstrate proof of concept for both public and private actors on how to provide for inclusive economic growth and forest and peat protection (and potentially restoration) when financing the production of agricultural commodities that are sourced from tropical landscapes. Thus, generating socio-economic benefits for local people is central to the fund’s operations. It will do so by improving the livelihoods of smallholders by including them in high-productivity, sustainable supply chains. In order to maximize positive social impacts, the </w:t>
      </w:r>
      <w:r w:rsidR="00005AAD" w:rsidRPr="00B672CA">
        <w:t>&amp;Green Fund</w:t>
      </w:r>
      <w:r w:rsidRPr="00B672CA">
        <w:t xml:space="preserve"> will seek to finance projects that seek the inclusion of third party suppliers, in particular smallholders, as beneficiaries of the project (for example, as suppliers of agricultural commodities, inputs or related goods and services.</w:t>
      </w:r>
    </w:p>
    <w:p w14:paraId="41A0B2BE" w14:textId="63A93949" w:rsidR="0091537C" w:rsidRPr="00B672CA" w:rsidRDefault="0091537C" w:rsidP="00B37DAC">
      <w:pPr>
        <w:pStyle w:val="Para"/>
      </w:pPr>
      <w:r w:rsidRPr="00B672CA">
        <w:t>The</w:t>
      </w:r>
      <w:r w:rsidR="007F5F4C" w:rsidRPr="00B672CA">
        <w:t xml:space="preserve"> fund</w:t>
      </w:r>
      <w:r w:rsidRPr="00B672CA">
        <w:t xml:space="preserve"> adopts the International Finance Corporation (IFC) Performance Standards as its framework for the management of environmental and social risks and impacts associated with the projects it seeks to finance. These standards define comprehensive operational requirements related to assessment and management of environmental and social risks and impacts; labor and working conditions; resource efficiency and pollution prevention; community health, safety, and security; land acquisition and involuntary resettlement; biodiversity conservation and sustainable management of living natural resources; indigenous peoples (including the use of free, prior and informed consent); and cultural heritage. </w:t>
      </w:r>
    </w:p>
    <w:p w14:paraId="4CF5EE7A" w14:textId="333760DE" w:rsidR="0091537C" w:rsidRPr="00B672CA" w:rsidRDefault="0091537C" w:rsidP="00B37DAC">
      <w:pPr>
        <w:pStyle w:val="Para"/>
      </w:pPr>
      <w:r w:rsidRPr="00B672CA">
        <w:t>All</w:t>
      </w:r>
      <w:r w:rsidR="007F5F4C" w:rsidRPr="00B672CA">
        <w:t xml:space="preserve"> fund</w:t>
      </w:r>
      <w:r w:rsidRPr="00B672CA">
        <w:t xml:space="preserve"> clients must make an unconditional written organizational level policy commitment to respect and support the Universal Declaration of Human Rights, respect and recognize the rights of all workers including contract, temporary and migrant workers, facilitate the inclusion of smallholders into the supply chain, respect customary and legal land tenure rights, respect the rights of indigenous and local communities to give or withhold their Free, Prior and Informed Consent (FPIC) to operations on lands to which they hold legal, communal or customary rights, resolve all complaints and conflicts through an open, transparent and consultative process.  </w:t>
      </w:r>
    </w:p>
    <w:p w14:paraId="11CA94CA" w14:textId="79807204" w:rsidR="0091537C" w:rsidRPr="00B672CA" w:rsidRDefault="0091537C" w:rsidP="00B37DAC">
      <w:pPr>
        <w:pStyle w:val="Para"/>
      </w:pPr>
      <w:r w:rsidRPr="00B672CA">
        <w:t xml:space="preserve">In terms of quantifiable socio-economic targets, the </w:t>
      </w:r>
      <w:r w:rsidR="00005AAD" w:rsidRPr="00B672CA">
        <w:t>&amp;Green Fund</w:t>
      </w:r>
      <w:r w:rsidRPr="00B672CA">
        <w:t xml:space="preserve"> expects to have an impact on 0.5 million households that benefit directly or indirectly from the </w:t>
      </w:r>
      <w:r w:rsidR="00C01902" w:rsidRPr="00B672CA">
        <w:t>f</w:t>
      </w:r>
      <w:r w:rsidRPr="00B672CA">
        <w:t>und through enhanced yields, profit sharing, secure tenure, or the creation of jobs and/or income-generating opportunities</w:t>
      </w:r>
      <w:r w:rsidR="00DA01D7" w:rsidRPr="00B672CA">
        <w:rPr>
          <w:rStyle w:val="FootnoteReference"/>
        </w:rPr>
        <w:footnoteReference w:id="41"/>
      </w:r>
      <w:r w:rsidR="00BF0A92" w:rsidRPr="00B672CA">
        <w:t>.</w:t>
      </w:r>
      <w:r w:rsidRPr="00B672CA">
        <w:t xml:space="preserve"> The GEF contribution to the </w:t>
      </w:r>
      <w:r w:rsidR="00005AAD" w:rsidRPr="00B672CA">
        <w:t>&amp;Green Fund</w:t>
      </w:r>
      <w:r w:rsidRPr="00B672CA">
        <w:t xml:space="preserve"> is expected to have an impact on 15,000 households.</w:t>
      </w:r>
    </w:p>
    <w:p w14:paraId="0C4BA379" w14:textId="77777777" w:rsidR="009F6C31" w:rsidRPr="00B672CA" w:rsidRDefault="009F6C31" w:rsidP="00B37DAC">
      <w:pPr>
        <w:pStyle w:val="Para"/>
      </w:pPr>
      <w:r w:rsidRPr="00B672CA">
        <w:rPr>
          <w:rFonts w:eastAsia="Calibri"/>
        </w:rPr>
        <w:t>The socio-economic benefits at the landscape level can also be expected to, as a secondary benefit, foment improvements in governance and the enabling environment. Tangible opportunities to attract increased levels of responsible foreign direct investment in target landscapes should also act as an incentive for central and local government to improve enforcement and regulation to facilitate the uptake of such private sector-financed Production Protection Inclusion agreements. Notwithstanding the expected job creation and tax benefits for the region, the likely reputational advantage for the public sector could create further demand from other jurisdictions and, ideally, a race-to-the-top mentality to create the right enabling environment for this type of investment.</w:t>
      </w:r>
    </w:p>
    <w:p w14:paraId="34E2BA5D" w14:textId="12A93DC7" w:rsidR="0044456B" w:rsidRPr="00B672CA" w:rsidRDefault="009F6C31" w:rsidP="00B37DAC">
      <w:pPr>
        <w:pStyle w:val="Para"/>
        <w:rPr>
          <w:rFonts w:eastAsia="Calibri"/>
        </w:rPr>
      </w:pPr>
      <w:r w:rsidRPr="00B672CA">
        <w:rPr>
          <w:rFonts w:eastAsia="Calibri"/>
        </w:rPr>
        <w:t>C</w:t>
      </w:r>
      <w:r w:rsidR="00B465B2" w:rsidRPr="00B672CA">
        <w:rPr>
          <w:rFonts w:eastAsia="Calibri"/>
        </w:rPr>
        <w:t xml:space="preserve">arbon benefits: Any and all efforts to access carbon markets based on any claim to have reduced emissions from deforestation and forest degradation (REDD+) over the </w:t>
      </w:r>
      <w:r w:rsidR="00BF0A92" w:rsidRPr="00B672CA">
        <w:rPr>
          <w:rFonts w:eastAsia="Calibri"/>
        </w:rPr>
        <w:t>p</w:t>
      </w:r>
      <w:r w:rsidR="00B465B2" w:rsidRPr="00B672CA">
        <w:rPr>
          <w:rFonts w:eastAsia="Calibri"/>
        </w:rPr>
        <w:t xml:space="preserve">roject </w:t>
      </w:r>
      <w:r w:rsidR="00BF0A92" w:rsidRPr="00B672CA">
        <w:rPr>
          <w:rFonts w:eastAsia="Calibri"/>
        </w:rPr>
        <w:t>a</w:t>
      </w:r>
      <w:r w:rsidR="00B465B2" w:rsidRPr="00B672CA">
        <w:rPr>
          <w:rFonts w:eastAsia="Calibri"/>
        </w:rPr>
        <w:t>rea shall be in full compliance with all relevant decisions under the UNFCCC. Moreover, a proportional amount of such credits that can reasonably be said to derive from</w:t>
      </w:r>
      <w:r w:rsidR="007F5F4C" w:rsidRPr="00B672CA">
        <w:rPr>
          <w:rFonts w:eastAsia="Calibri"/>
        </w:rPr>
        <w:t xml:space="preserve"> fund</w:t>
      </w:r>
      <w:r w:rsidR="00B465B2" w:rsidRPr="00B672CA">
        <w:rPr>
          <w:rFonts w:eastAsia="Calibri"/>
        </w:rPr>
        <w:t xml:space="preserve"> contributions, shall accrue to the</w:t>
      </w:r>
      <w:r w:rsidR="007F5F4C" w:rsidRPr="00B672CA">
        <w:rPr>
          <w:rFonts w:eastAsia="Calibri"/>
        </w:rPr>
        <w:t xml:space="preserve"> fund</w:t>
      </w:r>
      <w:r w:rsidR="00B465B2" w:rsidRPr="00B672CA">
        <w:rPr>
          <w:rFonts w:eastAsia="Calibri"/>
        </w:rPr>
        <w:t xml:space="preserve"> whereupon such credits will automatically be retired. In any case, the fund will not co-invest in projects seeking to receive additional financing through carbon credits that are not nested in a jurisdictional carbon accounting structure.</w:t>
      </w:r>
      <w:r w:rsidR="00B465B2" w:rsidRPr="00B672CA">
        <w:rPr>
          <w:rStyle w:val="FootnoteReference"/>
          <w:rFonts w:eastAsia="Calibri"/>
        </w:rPr>
        <w:footnoteReference w:id="42"/>
      </w:r>
      <w:r w:rsidR="00B465B2" w:rsidRPr="00B672CA">
        <w:rPr>
          <w:rFonts w:eastAsia="Calibri"/>
        </w:rPr>
        <w:t xml:space="preserve"> </w:t>
      </w:r>
    </w:p>
    <w:p w14:paraId="72ECC18E" w14:textId="79145DCB" w:rsidR="00D25D40" w:rsidRPr="00B672CA" w:rsidRDefault="00D25D40" w:rsidP="00DE1086">
      <w:pPr>
        <w:pStyle w:val="Heading1"/>
        <w:rPr>
          <w:lang w:val="en-US"/>
        </w:rPr>
      </w:pPr>
      <w:r w:rsidRPr="00B672CA">
        <w:rPr>
          <w:lang w:val="en-US"/>
        </w:rPr>
        <w:t>A.8 Knowledge Management</w:t>
      </w:r>
    </w:p>
    <w:p w14:paraId="7FCA6A54" w14:textId="77777777" w:rsidR="00D25D40" w:rsidRPr="00B672CA" w:rsidRDefault="00D25D40" w:rsidP="00D25D40">
      <w:pPr>
        <w:pStyle w:val="Heading3"/>
        <w:rPr>
          <w:lang w:val="en-US"/>
        </w:rPr>
      </w:pPr>
      <w:r w:rsidRPr="00B672CA">
        <w:rPr>
          <w:lang w:val="en-US"/>
        </w:rPr>
        <w:t xml:space="preserve">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135E2190" w14:textId="77777777" w:rsidR="00D25D40" w:rsidRPr="00B672CA" w:rsidRDefault="00D25D40" w:rsidP="00B37DAC">
      <w:pPr>
        <w:pStyle w:val="Para"/>
      </w:pPr>
      <w:r w:rsidRPr="00B672CA">
        <w:t>Together with public and private partners the proposed project will explore, prototype and evaluate cost-efficient and effective interventions to deliver desired outcomes that are scalable, internalized by businesses, in an enabling environment of effective public-private collaboration. Learning and innovation that are essential to realizing project results will be leveraged from IDH’s “Initiative for Sustainable Landscapes” program that includes resources to produce publications, as well as to attend and/or host events with a special focus on Green Growth Plans and Production Protection Inclusion agreements.</w:t>
      </w:r>
    </w:p>
    <w:p w14:paraId="1D3A4D55" w14:textId="77777777" w:rsidR="00D25D40" w:rsidRPr="00B672CA" w:rsidRDefault="00D25D40" w:rsidP="00B37DAC">
      <w:pPr>
        <w:pStyle w:val="Para"/>
      </w:pPr>
      <w:r w:rsidRPr="00B672CA">
        <w:t>The first type of learning will take place in the landscape coalitions on strategic issues and critical challenges that are being faced. The second type of learning will take place in the structuring of the Production Protection Inclusion deals, involving the investees, investors, other partners and proponents of the proposed project. In order to accelerate learning and innovation, the proposed project will work with partners to set-up field projects to develop proof-of-concept. The lessons from these projects will be leveraged for the investment deals. IDH’s learning and innovations, and communications departments are designed to strengthen the transformative drive of sector programs. Throughout the execution of the project, the project team will capture and disseminate best practices, lessons and models within and across sectors through publications and workshops.</w:t>
      </w:r>
    </w:p>
    <w:p w14:paraId="60B57C4F" w14:textId="77777777"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B672CA">
        <w:rPr>
          <w:rFonts w:ascii="Times New Roman" w:eastAsia="Times New Roman" w:hAnsi="Times New Roman"/>
          <w:b/>
          <w:caps/>
          <w:color w:val="000000"/>
          <w:lang w:eastAsia="x-none"/>
        </w:rPr>
        <w:t>B. D</w:t>
      </w:r>
      <w:r w:rsidRPr="00B672CA">
        <w:rPr>
          <w:rFonts w:ascii="Times New Roman Bold" w:eastAsia="Times New Roman" w:hAnsi="Times New Roman Bold"/>
          <w:b/>
          <w:smallCaps/>
          <w:color w:val="000000"/>
          <w:lang w:eastAsia="x-none"/>
        </w:rPr>
        <w:t>escribe the consistency of the project with national priorities</w:t>
      </w:r>
    </w:p>
    <w:p w14:paraId="2D6ED903" w14:textId="77777777" w:rsidR="00D25D40" w:rsidRPr="00B672CA" w:rsidRDefault="00D25D40" w:rsidP="00D25D40">
      <w:pPr>
        <w:pStyle w:val="Heading3"/>
        <w:rPr>
          <w:lang w:val="en-US"/>
        </w:rPr>
      </w:pPr>
      <w:r w:rsidRPr="00B672CA">
        <w:rPr>
          <w:lang w:val="en-US"/>
        </w:rPr>
        <w:t>Describe the consistency of the project with national strategies and plans or reports and assessments under relevant conventions such as NAPAs, NAPs, ASGM NAPs, MIAs, NBSAPs, NCs, TNAs, NCSAs, NIPs, PRSPs, NPFE, BURs, INDCs, etc.:</w:t>
      </w:r>
    </w:p>
    <w:p w14:paraId="10881AAA" w14:textId="5768E588" w:rsidR="00D25D40" w:rsidRPr="00B672CA" w:rsidRDefault="00D25D40" w:rsidP="00B37DAC">
      <w:pPr>
        <w:pStyle w:val="Para"/>
      </w:pPr>
      <w:r w:rsidRPr="00B672CA">
        <w:t>The UN</w:t>
      </w:r>
      <w:r w:rsidR="00861631" w:rsidRPr="00B672CA">
        <w:t xml:space="preserve"> </w:t>
      </w:r>
      <w:r w:rsidRPr="00B672CA">
        <w:t>E</w:t>
      </w:r>
      <w:r w:rsidR="00861631" w:rsidRPr="00B672CA">
        <w:t>nvironment</w:t>
      </w:r>
      <w:r w:rsidRPr="00B672CA">
        <w:t xml:space="preserve"> Regional Offices for Latin America and the Caribbean (ROLAC), for Africa (ROA), and for Asia and the Pacific (ROAP) will support the integration of the outcomes from the proposed project in the strategic planning processes and UNDAFs of target countries, as well as provide a platform for dissemination of results, and provision of technical support to countries. The proposed project’s alignment with the UNDAFs and National Action Programmes (NAPs</w:t>
      </w:r>
      <w:r w:rsidRPr="00B672CA">
        <w:rPr>
          <w:rStyle w:val="FootnoteReference"/>
        </w:rPr>
        <w:footnoteReference w:id="43"/>
      </w:r>
      <w:r w:rsidRPr="00B672CA">
        <w:t>) to combat land degradation in the three target countries is summarized below:</w:t>
      </w:r>
    </w:p>
    <w:p w14:paraId="78452264" w14:textId="3BE40C64" w:rsidR="00137951" w:rsidRPr="00B672CA" w:rsidRDefault="00137951" w:rsidP="00D46460">
      <w:pPr>
        <w:pStyle w:val="Tableheading"/>
      </w:pPr>
      <w:r w:rsidRPr="00B672CA">
        <w:t>Table 4: Alignment with UNDAFs and NAPs</w:t>
      </w:r>
    </w:p>
    <w:tbl>
      <w:tblPr>
        <w:tblW w:w="487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9485"/>
      </w:tblGrid>
      <w:tr w:rsidR="00D25D40" w:rsidRPr="00B672CA" w14:paraId="62977194" w14:textId="77777777" w:rsidTr="001C7163">
        <w:trPr>
          <w:trHeight w:val="315"/>
          <w:tblHeader/>
        </w:trPr>
        <w:tc>
          <w:tcPr>
            <w:tcW w:w="511" w:type="pct"/>
            <w:shd w:val="clear" w:color="auto" w:fill="D9D9D9"/>
          </w:tcPr>
          <w:p w14:paraId="5073A5AD" w14:textId="77777777" w:rsidR="00D25D40" w:rsidRPr="00B672CA" w:rsidRDefault="00D25D40" w:rsidP="00D46460">
            <w:pPr>
              <w:pStyle w:val="Tableheading"/>
            </w:pPr>
            <w:r w:rsidRPr="00B672CA">
              <w:t xml:space="preserve">Country </w:t>
            </w:r>
          </w:p>
        </w:tc>
        <w:tc>
          <w:tcPr>
            <w:tcW w:w="4489" w:type="pct"/>
            <w:shd w:val="clear" w:color="auto" w:fill="D9D9D9"/>
          </w:tcPr>
          <w:p w14:paraId="7FA7C758" w14:textId="77777777" w:rsidR="00D25D40" w:rsidRPr="00B672CA" w:rsidRDefault="00D25D40" w:rsidP="00D46460">
            <w:pPr>
              <w:pStyle w:val="Tableheading"/>
            </w:pPr>
            <w:r w:rsidRPr="00B672CA">
              <w:t>Consistency with UNDAFs and NAPs</w:t>
            </w:r>
          </w:p>
        </w:tc>
      </w:tr>
      <w:tr w:rsidR="00D25D40" w:rsidRPr="00B672CA" w14:paraId="2C93FEAE" w14:textId="77777777" w:rsidTr="00696322">
        <w:trPr>
          <w:trHeight w:val="260"/>
        </w:trPr>
        <w:tc>
          <w:tcPr>
            <w:tcW w:w="511" w:type="pct"/>
            <w:shd w:val="clear" w:color="auto" w:fill="auto"/>
          </w:tcPr>
          <w:p w14:paraId="66ED2948" w14:textId="77777777" w:rsidR="00D25D40" w:rsidRPr="00B672CA" w:rsidRDefault="00D25D40" w:rsidP="00371C61">
            <w:pPr>
              <w:pStyle w:val="Tabletext"/>
            </w:pPr>
            <w:r w:rsidRPr="00B672CA">
              <w:t>Brazil</w:t>
            </w:r>
          </w:p>
        </w:tc>
        <w:tc>
          <w:tcPr>
            <w:tcW w:w="4489" w:type="pct"/>
            <w:shd w:val="clear" w:color="auto" w:fill="auto"/>
          </w:tcPr>
          <w:p w14:paraId="3355AC4A" w14:textId="77777777" w:rsidR="00D25D40" w:rsidRPr="00B672CA" w:rsidRDefault="00D25D40" w:rsidP="00371C61">
            <w:pPr>
              <w:pStyle w:val="Tabletext"/>
            </w:pPr>
            <w:r w:rsidRPr="00B672CA">
              <w:t>The proposed project will contribute to the following outcomes in Brazil’s UNDAF (2012-2015):  “National policies to promote the green economy (with expansion and improvement of formal employment and new businesses, new technology development and qualification of productive actors) expanded and strengthened”. See (pages 27-32):</w:t>
            </w:r>
          </w:p>
          <w:p w14:paraId="78BF5365" w14:textId="77777777" w:rsidR="00D25D40" w:rsidRPr="00B672CA" w:rsidRDefault="0004701D" w:rsidP="00371C61">
            <w:pPr>
              <w:pStyle w:val="Tabletext"/>
              <w:rPr>
                <w:bCs/>
                <w:iCs/>
                <w:lang w:val="en-US"/>
              </w:rPr>
            </w:pPr>
            <w:hyperlink r:id="rId21" w:history="1">
              <w:r w:rsidR="00D25D40" w:rsidRPr="00B672CA">
                <w:rPr>
                  <w:rStyle w:val="Hyperlink"/>
                  <w:bCs/>
                  <w:lang w:val="en-US"/>
                </w:rPr>
                <w:t>https://ims.undg.org/downloadFile/8788f555ba432c662f8be1d29e04760c16dcf563ad651ba59a5d34501a6edfbf</w:t>
              </w:r>
            </w:hyperlink>
            <w:r w:rsidR="00D25D40" w:rsidRPr="00B672CA">
              <w:rPr>
                <w:bCs/>
                <w:lang w:val="en-US"/>
              </w:rPr>
              <w:t xml:space="preserve">  </w:t>
            </w:r>
          </w:p>
          <w:p w14:paraId="5EEF3297" w14:textId="77777777" w:rsidR="00D25D40" w:rsidRPr="00B672CA" w:rsidRDefault="00D25D40" w:rsidP="00371C61">
            <w:pPr>
              <w:pStyle w:val="Tabletext"/>
            </w:pPr>
          </w:p>
          <w:p w14:paraId="1974B016" w14:textId="77777777" w:rsidR="00D25D40" w:rsidRPr="00B672CA" w:rsidRDefault="00D25D40" w:rsidP="00371C61">
            <w:pPr>
              <w:pStyle w:val="Tabletext"/>
            </w:pPr>
            <w:r w:rsidRPr="00B672CA">
              <w:t>The proposed project will contribute to the following actions in the NAP: (i) Sustainable expansion of productive capacity (Improvement of Infrastructure; Strengthening Productive Activities; and Improvement of the Flow of Investments); and (ii) Preservation, Conservation and Sustainable Management of Natural Resources (Sustainable Management of Forest Resources)</w:t>
            </w:r>
          </w:p>
        </w:tc>
      </w:tr>
      <w:tr w:rsidR="00D25D40" w:rsidRPr="00B672CA" w14:paraId="5F15C29D" w14:textId="77777777" w:rsidTr="00696322">
        <w:trPr>
          <w:trHeight w:val="962"/>
        </w:trPr>
        <w:tc>
          <w:tcPr>
            <w:tcW w:w="511" w:type="pct"/>
            <w:shd w:val="clear" w:color="auto" w:fill="auto"/>
          </w:tcPr>
          <w:p w14:paraId="449E2603" w14:textId="77777777" w:rsidR="00D25D40" w:rsidRPr="00B672CA" w:rsidRDefault="00D25D40" w:rsidP="00371C61">
            <w:pPr>
              <w:pStyle w:val="Tabletext"/>
            </w:pPr>
            <w:r w:rsidRPr="00B672CA">
              <w:t>Indonesia</w:t>
            </w:r>
          </w:p>
        </w:tc>
        <w:tc>
          <w:tcPr>
            <w:tcW w:w="4489" w:type="pct"/>
            <w:shd w:val="clear" w:color="auto" w:fill="auto"/>
          </w:tcPr>
          <w:p w14:paraId="022521E7" w14:textId="77777777" w:rsidR="00D25D40" w:rsidRPr="00B672CA" w:rsidRDefault="00D25D40" w:rsidP="00371C61">
            <w:pPr>
              <w:pStyle w:val="Tabletext"/>
            </w:pPr>
            <w:r w:rsidRPr="00B672CA">
              <w:t>The proposed project will contribute to the following outcomes in Indonesia’s UNPDF (2016-2020): “By 2020, Indonesia is sustainably managing its natural resources, on land and at sea, with an increased resilience to the effects of climate change, disasters and other shocks”. See (page 42):</w:t>
            </w:r>
          </w:p>
          <w:p w14:paraId="6592421A" w14:textId="77777777" w:rsidR="00D25D40" w:rsidRPr="00B672CA" w:rsidRDefault="0004701D" w:rsidP="00371C61">
            <w:pPr>
              <w:pStyle w:val="Tabletext"/>
              <w:rPr>
                <w:bCs/>
                <w:lang w:val="en-US"/>
              </w:rPr>
            </w:pPr>
            <w:hyperlink r:id="rId22" w:history="1">
              <w:r w:rsidR="00D25D40" w:rsidRPr="00B672CA">
                <w:rPr>
                  <w:rStyle w:val="Hyperlink"/>
                  <w:bCs/>
                  <w:lang w:val="en-US"/>
                </w:rPr>
                <w:t>https://ims.undg.org/downloadFile/66e569e80493448eb172e03c6bfb6bbaf439f11a5000f78a28665a41abfe5c8b</w:t>
              </w:r>
            </w:hyperlink>
          </w:p>
          <w:p w14:paraId="36FEDF93" w14:textId="77777777" w:rsidR="00D25D40" w:rsidRPr="00B672CA" w:rsidRDefault="00D25D40" w:rsidP="00371C61">
            <w:pPr>
              <w:pStyle w:val="Tabletext"/>
            </w:pPr>
          </w:p>
          <w:p w14:paraId="6AD3EC1B" w14:textId="77777777" w:rsidR="00D25D40" w:rsidRPr="00B672CA" w:rsidRDefault="00D25D40" w:rsidP="00371C61">
            <w:pPr>
              <w:pStyle w:val="Tabletext"/>
            </w:pPr>
            <w:r w:rsidRPr="00B672CA">
              <w:t>The proposed project will contribute to the following objectives of Indonesia’s NAP: (i) Providing Enabling Conditions (Enhancing effective institutions to effectively execute the programmes); (ii) Promoting Agroforestry (Providing high quality seed/ planting material and dry land farming inputs); (iii) Prevention of Land Degradation (Providing credit scheme for conservation farming systems; Providing guidelines and standards for soil conservation techniques); (iii) Rehabilitation of degraded forests and lands.</w:t>
            </w:r>
          </w:p>
        </w:tc>
      </w:tr>
      <w:tr w:rsidR="00D25D40" w:rsidRPr="00B672CA" w14:paraId="1F953867" w14:textId="77777777" w:rsidTr="00696322">
        <w:trPr>
          <w:trHeight w:val="1625"/>
        </w:trPr>
        <w:tc>
          <w:tcPr>
            <w:tcW w:w="511" w:type="pct"/>
            <w:tcBorders>
              <w:bottom w:val="single" w:sz="4" w:space="0" w:color="auto"/>
            </w:tcBorders>
            <w:shd w:val="clear" w:color="auto" w:fill="auto"/>
          </w:tcPr>
          <w:p w14:paraId="60D7F625" w14:textId="77777777" w:rsidR="00D25D40" w:rsidRPr="00B672CA" w:rsidRDefault="00D25D40" w:rsidP="00371C61">
            <w:pPr>
              <w:pStyle w:val="Tabletext"/>
            </w:pPr>
            <w:r w:rsidRPr="00B672CA">
              <w:t>Liberia</w:t>
            </w:r>
          </w:p>
        </w:tc>
        <w:tc>
          <w:tcPr>
            <w:tcW w:w="4489" w:type="pct"/>
            <w:tcBorders>
              <w:bottom w:val="single" w:sz="4" w:space="0" w:color="auto"/>
            </w:tcBorders>
            <w:shd w:val="clear" w:color="auto" w:fill="auto"/>
          </w:tcPr>
          <w:p w14:paraId="580AE5F9" w14:textId="77777777" w:rsidR="00D25D40" w:rsidRPr="00B672CA" w:rsidRDefault="00D25D40" w:rsidP="00371C61">
            <w:pPr>
              <w:pStyle w:val="Tabletext"/>
            </w:pPr>
            <w:r w:rsidRPr="00B672CA">
              <w:t>The proposed project will contribute to the following outcomes in Liberia’s UNDAF (2013-2017): Outcome 2.1: Natural Resources Utilization and Food Security: sustainable natural resources utilization and sustained food security; Outcome 2.2: Private Sector Development: Access to sustainable livelihoods in an innovative and competitive private sector; and Outcome 2.4: Macroeconomic Policy: Evidence based policies for stable and sustained macro-economic environment. See:</w:t>
            </w:r>
          </w:p>
          <w:p w14:paraId="352556F4" w14:textId="77777777" w:rsidR="00D25D40" w:rsidRPr="00B672CA" w:rsidRDefault="0004701D" w:rsidP="00371C61">
            <w:pPr>
              <w:pStyle w:val="Tabletext"/>
              <w:rPr>
                <w:bCs/>
                <w:iCs/>
                <w:lang w:val="en-US"/>
              </w:rPr>
            </w:pPr>
            <w:hyperlink r:id="rId23" w:history="1">
              <w:r w:rsidR="00D25D40" w:rsidRPr="00B672CA">
                <w:rPr>
                  <w:rStyle w:val="Hyperlink"/>
                  <w:bCs/>
                  <w:iCs/>
                  <w:lang w:val="en-US"/>
                </w:rPr>
                <w:t>https://ims.undg.org/downloadFile/505b012e398561e59cee50803346f00d49f3c452dd8e16760521c22db743d200</w:t>
              </w:r>
            </w:hyperlink>
          </w:p>
          <w:p w14:paraId="74858BC7" w14:textId="77777777" w:rsidR="00D25D40" w:rsidRPr="00B672CA" w:rsidRDefault="00D25D40" w:rsidP="00371C61">
            <w:pPr>
              <w:pStyle w:val="Tabletext"/>
            </w:pPr>
          </w:p>
          <w:p w14:paraId="425059E3" w14:textId="77777777" w:rsidR="00D25D40" w:rsidRPr="00B672CA" w:rsidRDefault="00D25D40" w:rsidP="00371C61">
            <w:pPr>
              <w:pStyle w:val="Tabletext"/>
            </w:pPr>
            <w:r w:rsidRPr="00B672CA">
              <w:t>The proposed project will contribute to the following strategic objectives of Liberia’s NAP: Strategic  Objective  1 (Improvement  of  the  standard  of  living  of  the  people  in  the  areas affected by land degradation and its associated negative impacts); Strategic Objective 4 (Mobilization of resources financial and human for the implementation  to  the  SLM,  NAP  are  effected  through  partnerships  bilaterally  and  multilaterally  as  well  as within the country).</w:t>
            </w:r>
          </w:p>
        </w:tc>
      </w:tr>
    </w:tbl>
    <w:p w14:paraId="3AA18037" w14:textId="204364F9" w:rsidR="00D25D40" w:rsidRPr="00280BF9" w:rsidRDefault="00D25D40" w:rsidP="00465EB6">
      <w:pPr>
        <w:pStyle w:val="Para"/>
      </w:pPr>
      <w:r w:rsidRPr="00B672CA">
        <w:t xml:space="preserve">In addition to alignment with country-level strategies (UNDAFs) and plans under the UNCCD (NAPs), the proposed project also aligns well with several other global targets and activities (CBD, UNFCCC, UNFF, and SDGs) </w:t>
      </w:r>
      <w:r w:rsidRPr="00280BF9">
        <w:t>and these are described below.</w:t>
      </w:r>
      <w:r w:rsidR="00465EB6" w:rsidRPr="00280BF9">
        <w:t xml:space="preserve"> The Project contributes to UN Environment Program of Work Subprogramme 3 ‘</w:t>
      </w:r>
      <w:r w:rsidR="00465EB6" w:rsidRPr="00280BF9">
        <w:rPr>
          <w:b/>
          <w:bCs/>
        </w:rPr>
        <w:t>Healthy and productive ecosystems</w:t>
      </w:r>
      <w:r w:rsidR="00465EB6" w:rsidRPr="00280BF9">
        <w:t xml:space="preserve">’ Expected Accomplishment (b) </w:t>
      </w:r>
      <w:r w:rsidR="00465EB6" w:rsidRPr="00280BF9">
        <w:rPr>
          <w:b/>
          <w:bCs/>
        </w:rPr>
        <w:t>Policymakers in the public and private sectors test the inclusion of the health and productivity of ecosystems in economic decision-making</w:t>
      </w:r>
      <w:r w:rsidR="00465EB6" w:rsidRPr="00280BF9">
        <w:t xml:space="preserve"> Indicator of achievement (ii) </w:t>
      </w:r>
      <w:r w:rsidR="00465EB6" w:rsidRPr="00280BF9">
        <w:rPr>
          <w:b/>
          <w:bCs/>
        </w:rPr>
        <w:t>Increase in the number of private sector entities that adjust their business models to reduce their ecosystem-related risks and/or negative impacts on marine and terrestrial ecosystems</w:t>
      </w:r>
    </w:p>
    <w:p w14:paraId="60C08BAE" w14:textId="77777777" w:rsidR="00D25D40" w:rsidRPr="00B672CA" w:rsidRDefault="00D25D40" w:rsidP="00F533BE">
      <w:pPr>
        <w:pStyle w:val="Bullets1"/>
      </w:pPr>
      <w:r w:rsidRPr="00B672CA">
        <w:t>Aichi Biodiversity Targets (CBD Decision X/ 2)</w:t>
      </w:r>
    </w:p>
    <w:p w14:paraId="55BB79E9" w14:textId="77777777" w:rsidR="00D25D40" w:rsidRPr="00B672CA" w:rsidRDefault="00D25D40" w:rsidP="00F533BE">
      <w:pPr>
        <w:pStyle w:val="Bullets2"/>
      </w:pPr>
      <w:r w:rsidRPr="00B672CA">
        <w:t>Target 5: By 2020, the rate of loss of all natural habitats, including forests, is at least halved and where feasible brought close to zero, and degradation and fragmentation is significantly reduced</w:t>
      </w:r>
    </w:p>
    <w:p w14:paraId="1440C879" w14:textId="77777777" w:rsidR="00D25D40" w:rsidRPr="00B672CA" w:rsidRDefault="00D25D40" w:rsidP="00F533BE">
      <w:pPr>
        <w:pStyle w:val="Bullets2"/>
      </w:pPr>
      <w:r w:rsidRPr="00B672CA">
        <w:t>Target 7: By 2020 areas under agriculture, aquaculture and forestry are managed sustainably, ensuring conservation of biodiversity</w:t>
      </w:r>
    </w:p>
    <w:p w14:paraId="145781DB" w14:textId="77777777" w:rsidR="00D25D40" w:rsidRPr="00B672CA" w:rsidRDefault="00D25D40" w:rsidP="00F533BE">
      <w:pPr>
        <w:pStyle w:val="Bullets1"/>
      </w:pPr>
      <w:r w:rsidRPr="00B672CA">
        <w:t>REDD-plus activities (UNFCCC Decision 1/ CP.16)</w:t>
      </w:r>
    </w:p>
    <w:p w14:paraId="7C1D755D" w14:textId="77777777" w:rsidR="00D25D40" w:rsidRPr="00B672CA" w:rsidRDefault="00D25D40" w:rsidP="00F533BE">
      <w:pPr>
        <w:pStyle w:val="Bullets2"/>
      </w:pPr>
      <w:r w:rsidRPr="00B672CA">
        <w:t>Reducing emissions from deforestation</w:t>
      </w:r>
    </w:p>
    <w:p w14:paraId="0E3A9A9C" w14:textId="23171F39" w:rsidR="00916BED" w:rsidRPr="00B672CA" w:rsidRDefault="00916BED" w:rsidP="00F533BE">
      <w:pPr>
        <w:pStyle w:val="Bullets2"/>
      </w:pPr>
      <w:r w:rsidRPr="00B672CA">
        <w:t>Reducing emissions from forest degradation</w:t>
      </w:r>
    </w:p>
    <w:p w14:paraId="112C6394" w14:textId="5A7A00A2" w:rsidR="00D25D40" w:rsidRPr="00B672CA" w:rsidRDefault="00916BED" w:rsidP="00F533BE">
      <w:pPr>
        <w:pStyle w:val="Bullets2"/>
      </w:pPr>
      <w:r w:rsidRPr="00B672CA">
        <w:t>Conservation of forests</w:t>
      </w:r>
    </w:p>
    <w:p w14:paraId="6C0BB932" w14:textId="066BB64C" w:rsidR="00916BED" w:rsidRPr="00B672CA" w:rsidRDefault="00916BED" w:rsidP="00F533BE">
      <w:pPr>
        <w:pStyle w:val="Bullets2"/>
      </w:pPr>
      <w:r w:rsidRPr="00B672CA">
        <w:t>Enhancement of forest carbon stocks</w:t>
      </w:r>
    </w:p>
    <w:p w14:paraId="76A0806C" w14:textId="52828A80" w:rsidR="00916BED" w:rsidRPr="00B672CA" w:rsidRDefault="00916BED" w:rsidP="00F533BE">
      <w:pPr>
        <w:pStyle w:val="Bullets2"/>
      </w:pPr>
      <w:r w:rsidRPr="00B672CA">
        <w:t>Sustainable management of forests</w:t>
      </w:r>
    </w:p>
    <w:p w14:paraId="6EF4E2BB" w14:textId="77777777" w:rsidR="00D25D40" w:rsidRPr="00B672CA" w:rsidRDefault="00D25D40" w:rsidP="00F533BE">
      <w:pPr>
        <w:pStyle w:val="Bullets1"/>
      </w:pPr>
      <w:r w:rsidRPr="00B672CA">
        <w:t>Desertification, land degradation and drought (DLDD) and sustainable forest management (SFM) (UNCCD Decision 4/ COP 8)</w:t>
      </w:r>
    </w:p>
    <w:p w14:paraId="43AB0217" w14:textId="77777777" w:rsidR="00D25D40" w:rsidRPr="00B672CA" w:rsidRDefault="00D25D40" w:rsidP="00F533BE">
      <w:pPr>
        <w:pStyle w:val="Bullets2"/>
      </w:pPr>
      <w:r w:rsidRPr="00B672CA">
        <w:t>Reinforce SFM as a means of preventing soil erosion and flooding, thus increasing the size of atmospheric carbon sinks and conserving ecosystems and biodiversity</w:t>
      </w:r>
    </w:p>
    <w:p w14:paraId="127C0466" w14:textId="77777777" w:rsidR="00D25D40" w:rsidRPr="00B672CA" w:rsidRDefault="00D25D40" w:rsidP="00F533BE">
      <w:pPr>
        <w:pStyle w:val="Bullets1"/>
      </w:pPr>
      <w:r w:rsidRPr="00B672CA">
        <w:t>United Nations Forum on Forests’ (UNFF) decision (E/2006/42, E/CN.18/2006/18): Reverse the loss of forest cover worldwide through SFM, including protection, restoration, afforestation, and reforestation, and increase efforts to prevent forest degradation</w:t>
      </w:r>
    </w:p>
    <w:p w14:paraId="3AC180F1" w14:textId="77777777" w:rsidR="00D25D40" w:rsidRPr="00280BF9" w:rsidRDefault="00D25D40" w:rsidP="00F533BE">
      <w:pPr>
        <w:pStyle w:val="Bullets1"/>
      </w:pPr>
      <w:r w:rsidRPr="00280BF9">
        <w:t>Sustainable development goals: Poverty Reduction (SDG #1), food security (#2), gender equality (#5), responsible consumption and production (#12), climate action (#13), and halting land degradation and biodiversity loss (#15)</w:t>
      </w:r>
    </w:p>
    <w:p w14:paraId="2D1C413B" w14:textId="77777777" w:rsidR="007D28C6" w:rsidRPr="00B672CA" w:rsidRDefault="007D28C6" w:rsidP="007D28C6">
      <w:pPr>
        <w:pStyle w:val="Bullets1"/>
        <w:numPr>
          <w:ilvl w:val="0"/>
          <w:numId w:val="0"/>
        </w:numPr>
        <w:ind w:left="648"/>
      </w:pPr>
    </w:p>
    <w:p w14:paraId="3B7EE5B6" w14:textId="77777777" w:rsidR="00D25D40" w:rsidRPr="00B672CA" w:rsidRDefault="00D25D40" w:rsidP="00D25D4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B672CA">
        <w:rPr>
          <w:rFonts w:ascii="Times New Roman" w:eastAsia="Times New Roman" w:hAnsi="Times New Roman"/>
          <w:b/>
          <w:caps/>
          <w:color w:val="000000"/>
          <w:lang w:eastAsia="x-none"/>
        </w:rPr>
        <w:t>C. D</w:t>
      </w:r>
      <w:r w:rsidRPr="00B672CA">
        <w:rPr>
          <w:rFonts w:ascii="Times New Roman Bold" w:eastAsia="Times New Roman" w:hAnsi="Times New Roman Bold"/>
          <w:b/>
          <w:smallCaps/>
          <w:color w:val="000000"/>
          <w:lang w:eastAsia="x-none"/>
        </w:rPr>
        <w:t>escribe the budgeted monitoring and evaluation plan</w:t>
      </w:r>
    </w:p>
    <w:p w14:paraId="0E3F4AAA" w14:textId="232120CA" w:rsidR="00D25D40" w:rsidRPr="00B672CA" w:rsidRDefault="00D25D40" w:rsidP="00B37DAC">
      <w:pPr>
        <w:pStyle w:val="Para"/>
      </w:pPr>
      <w:r w:rsidRPr="00B672CA">
        <w:t xml:space="preserve">The monitoring and evaluation process is expected to be a key part of the project, based on a three-year implementation plan. Monitoring and Evaluation (M&amp;E) will be conducted </w:t>
      </w:r>
      <w:r w:rsidR="00FE4BDF" w:rsidRPr="00B672CA">
        <w:t>utilizing</w:t>
      </w:r>
      <w:r w:rsidRPr="00B672CA">
        <w:t xml:space="preserve"> the results-based management approach. The Results Framework provides performance and impact indicators for project implementation along with corresponding means of verification. </w:t>
      </w:r>
      <w:r w:rsidR="00B8305F" w:rsidRPr="00B672CA">
        <w:t xml:space="preserve">The M&amp;E plan includes project implementation reviews, quarterly and annual review reports, and mid-term and final evaluations. </w:t>
      </w:r>
      <w:r w:rsidRPr="00B672CA">
        <w:t>M&amp;E will be an on-going process and is based on the</w:t>
      </w:r>
      <w:r w:rsidR="00FE4BDF" w:rsidRPr="00B672CA">
        <w:t xml:space="preserve"> following strategic directions.</w:t>
      </w:r>
    </w:p>
    <w:p w14:paraId="2D20238A" w14:textId="77777777" w:rsidR="00D25D40" w:rsidRPr="00B672CA" w:rsidRDefault="00D25D40" w:rsidP="00B37DAC">
      <w:pPr>
        <w:pStyle w:val="Para"/>
      </w:pPr>
      <w:r w:rsidRPr="00B672CA">
        <w:t xml:space="preserve">The monitoring and evaluation process will be participatory, consultative and aimed at ensuring delivery of project outputs and achievement of associated defined targets. Evaluation will be based on the status of implementation, through identification of gaps, and the measurement of impacts and level of success in the application of best practices.  </w:t>
      </w:r>
    </w:p>
    <w:p w14:paraId="45003F6C" w14:textId="0EF455E9" w:rsidR="00D25D40" w:rsidRPr="00B672CA" w:rsidRDefault="00D25D40" w:rsidP="00B37DAC">
      <w:pPr>
        <w:pStyle w:val="Para"/>
      </w:pPr>
      <w:r w:rsidRPr="00B672CA">
        <w:t>UN Environment will be responsible for managing the mid-term review/</w:t>
      </w:r>
      <w:r w:rsidR="00FE4BDF" w:rsidRPr="00B672CA">
        <w:t xml:space="preserve"> </w:t>
      </w:r>
      <w:r w:rsidRPr="00B672CA">
        <w:t>evaluation and the terminal evaluation. The Project Management Unit and partners will participate actively in the process.</w:t>
      </w:r>
    </w:p>
    <w:p w14:paraId="358DE75B" w14:textId="5ACC5E3D" w:rsidR="00D25D40" w:rsidRPr="00B672CA" w:rsidRDefault="00D25D40" w:rsidP="00B37DAC">
      <w:pPr>
        <w:pStyle w:val="Para"/>
      </w:pPr>
      <w:r w:rsidRPr="00B672CA">
        <w:t xml:space="preserve">The project will be reviewed or evaluated at mid-term. The purpose of the Mid-Term Review (MTR) or Mid-Term Evaluation (MTE) is to provide an independent assessment of project performance at mid-term, to </w:t>
      </w:r>
      <w:r w:rsidR="00FE4BDF" w:rsidRPr="00B672CA">
        <w:t>analyze</w:t>
      </w:r>
      <w:r w:rsidRPr="00B672CA">
        <w:t xml:space="preserv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w:t>
      </w:r>
    </w:p>
    <w:p w14:paraId="1FF14EB9" w14:textId="25458A17" w:rsidR="00D25D40" w:rsidRPr="00B672CA" w:rsidRDefault="00707340" w:rsidP="00B37DAC">
      <w:pPr>
        <w:pStyle w:val="Para"/>
      </w:pPr>
      <w:r w:rsidRPr="00B672CA">
        <w:t>A</w:t>
      </w:r>
      <w:r w:rsidR="00D25D40" w:rsidRPr="00B672CA">
        <w:t xml:space="preserve"> management response to the evaluation recommendations</w:t>
      </w:r>
      <w:r w:rsidRPr="00B672CA">
        <w:t xml:space="preserve"> will be developed,</w:t>
      </w:r>
      <w:r w:rsidR="00D25D40" w:rsidRPr="00B672CA">
        <w:t xml:space="preserve"> along with an implementation plan. It is the responsibility of the UN Environment Task Manager to monitor whether the agreed recommendations are being implemented. An MTR is managed by the UN Environment Task Manager. An MTE is managed by the Evaluation Office of UN Environment. The Evaluation Office of UN Environment will determine whether an MTE is required or an MTR is sufficient. </w:t>
      </w:r>
    </w:p>
    <w:p w14:paraId="0765DFAF" w14:textId="77777777" w:rsidR="00D25D40" w:rsidRPr="00B672CA" w:rsidRDefault="00D25D40" w:rsidP="00B37DAC">
      <w:pPr>
        <w:pStyle w:val="Para"/>
      </w:pPr>
      <w:r w:rsidRPr="00B672CA">
        <w:t>In line with UN Environment Evaluation Policy and the GEF’s Monitoring and Evaluation Policy, the project will be subject to a Terminal Evaluation (TE).  The Evaluation Office will be responsible for the Terminal Evaluation and will liaise with the Task Manager and the Executing Agency throughout the process.  The Terminal Evaluation will provide an independent assessment of project performance (in terms of relevance, effectiveness and efficiency), and determine the likelihood of impact and sustainability. It will have two primary purposes:</w:t>
      </w:r>
    </w:p>
    <w:p w14:paraId="6A42F332" w14:textId="77777777" w:rsidR="00D25D40" w:rsidRPr="00B672CA" w:rsidRDefault="00D25D40" w:rsidP="00F533BE">
      <w:pPr>
        <w:pStyle w:val="Bullets1"/>
      </w:pPr>
      <w:r w:rsidRPr="00B672CA">
        <w:t>to provide evidence of results to meet accountability requirements, and</w:t>
      </w:r>
    </w:p>
    <w:p w14:paraId="2578AEF7" w14:textId="77777777" w:rsidR="00D25D40" w:rsidRPr="00B672CA" w:rsidRDefault="00D25D40" w:rsidP="00F533BE">
      <w:pPr>
        <w:pStyle w:val="Bullets1"/>
      </w:pPr>
      <w:r w:rsidRPr="00B672CA">
        <w:t>to promote learning, feedback, and knowledge sharing through results and lessons learned among UN Environment, the GEF, executing partners and other stakeholders.</w:t>
      </w:r>
    </w:p>
    <w:p w14:paraId="36423C5F" w14:textId="77CF614E" w:rsidR="00D25D40" w:rsidRPr="00B672CA" w:rsidRDefault="00D25D40" w:rsidP="00B37DAC">
      <w:pPr>
        <w:pStyle w:val="Para"/>
      </w:pPr>
      <w:r w:rsidRPr="00B672CA">
        <w:t>The direct costs of the evaluation</w:t>
      </w:r>
      <w:r w:rsidR="00707340" w:rsidRPr="00B672CA">
        <w:t>s</w:t>
      </w:r>
      <w:r w:rsidRPr="00B672CA">
        <w:t xml:space="preserve">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 must be initiated no later than six months after operational completion.</w:t>
      </w:r>
    </w:p>
    <w:p w14:paraId="3C3AB71C" w14:textId="08442592" w:rsidR="00D25D40" w:rsidRPr="00B672CA" w:rsidRDefault="00D25D40" w:rsidP="00B37DAC">
      <w:pPr>
        <w:pStyle w:val="Para"/>
      </w:pPr>
      <w:r w:rsidRPr="00B672CA">
        <w:t xml:space="preserve">The draft Terminal Evaluation report will be sent by the Evaluation Office to project stakeholders for comments.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w:t>
      </w:r>
      <w:r w:rsidR="0086777A" w:rsidRPr="00B672CA">
        <w:t>finalized</w:t>
      </w:r>
      <w:r w:rsidRPr="00B672CA">
        <w:t xml:space="preserve"> and further reviewed by the GEF Independent Evaluation Office upon submission. The evaluation report will be publicly disclosed and may be followed by a recommendation compliance process.</w:t>
      </w:r>
    </w:p>
    <w:p w14:paraId="49D04C93" w14:textId="7043E00C" w:rsidR="00BF0A92" w:rsidRPr="00B672CA" w:rsidRDefault="00D25D40" w:rsidP="00B37DAC">
      <w:pPr>
        <w:pStyle w:val="Para"/>
      </w:pPr>
      <w:r w:rsidRPr="00B672CA">
        <w:t>The GEF tracking too</w:t>
      </w:r>
      <w:r w:rsidR="00101D6E" w:rsidRPr="00B672CA">
        <w:t>l LD-PMAT is attached as Annex N</w:t>
      </w:r>
      <w:r w:rsidRPr="00B672CA">
        <w:t>. The LD-PMAT will be updated at mid-term and at the end of the project and will be made available to the GEF Secretariat along with the project PIR report. As mentioned above, the MTR and TE will verify the information of the tracking tool.</w:t>
      </w:r>
      <w:r w:rsidR="0086777A" w:rsidRPr="00B672CA">
        <w:t xml:space="preserve"> </w:t>
      </w:r>
      <w:r w:rsidRPr="00B672CA">
        <w:t>A detailed monitoring and evaluation p</w:t>
      </w:r>
      <w:r w:rsidR="00101D6E" w:rsidRPr="00B672CA">
        <w:t>lan has been provided in Annex J</w:t>
      </w:r>
      <w:r w:rsidRPr="00B672CA">
        <w:t>, including the indicative budget and time frame for its implementation.</w:t>
      </w:r>
    </w:p>
    <w:p w14:paraId="3D18B16D" w14:textId="0E1B5674" w:rsidR="00D25D40" w:rsidRPr="00B672CA" w:rsidRDefault="00D25D40" w:rsidP="00106F36">
      <w:pPr>
        <w:tabs>
          <w:tab w:val="center" w:pos="4320"/>
          <w:tab w:val="right" w:pos="8640"/>
        </w:tabs>
        <w:spacing w:after="0" w:line="240" w:lineRule="auto"/>
        <w:rPr>
          <w:rFonts w:ascii="Times New Roman" w:eastAsia="Times New Roman" w:hAnsi="Times New Roman"/>
          <w:b/>
          <w:caps/>
          <w:color w:val="000000"/>
          <w:u w:val="single"/>
          <w:lang w:eastAsia="x-none"/>
        </w:rPr>
      </w:pPr>
      <w:r w:rsidRPr="00B672CA">
        <w:rPr>
          <w:rFonts w:ascii="Times New Roman" w:eastAsia="Times New Roman" w:hAnsi="Times New Roman"/>
          <w:b/>
          <w:caps/>
          <w:color w:val="000000"/>
          <w:u w:val="single"/>
          <w:lang w:eastAsia="x-none"/>
        </w:rPr>
        <w:t>PART iII: certification by gef partner agency</w:t>
      </w:r>
    </w:p>
    <w:p w14:paraId="7664B1D8" w14:textId="77777777" w:rsidR="00106F36" w:rsidRPr="00B672CA" w:rsidRDefault="00106F36" w:rsidP="00106F36">
      <w:pPr>
        <w:tabs>
          <w:tab w:val="center" w:pos="4320"/>
          <w:tab w:val="right" w:pos="8640"/>
        </w:tabs>
        <w:spacing w:after="0" w:line="240" w:lineRule="auto"/>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D25D40" w:rsidRPr="00B672CA" w14:paraId="0CD599F3" w14:textId="77777777" w:rsidTr="00696322">
        <w:trPr>
          <w:cantSplit/>
          <w:trHeight w:val="503"/>
        </w:trPr>
        <w:tc>
          <w:tcPr>
            <w:tcW w:w="10195" w:type="dxa"/>
          </w:tcPr>
          <w:p w14:paraId="775B83A0" w14:textId="77777777" w:rsidR="00D25D40" w:rsidRPr="00B672CA" w:rsidRDefault="00D25D40" w:rsidP="00D46460">
            <w:pPr>
              <w:pStyle w:val="Tableheading"/>
            </w:pPr>
            <w:r w:rsidRPr="00B672CA">
              <w:t>This request has been prepared in accordance with GEF policies</w:t>
            </w:r>
            <w:r w:rsidRPr="00B672CA">
              <w:rPr>
                <w:rStyle w:val="FootnoteReference"/>
                <w:lang w:val="en-US"/>
              </w:rPr>
              <w:footnoteReference w:id="44"/>
            </w:r>
            <w:r w:rsidRPr="00B672CA">
              <w:t xml:space="preserve"> and procedures and meets the GEF criteria for CEO endorsement under GEF-6.</w:t>
            </w:r>
          </w:p>
        </w:tc>
      </w:tr>
    </w:tbl>
    <w:p w14:paraId="797FA676" w14:textId="77777777" w:rsidR="00D25D40" w:rsidRPr="00B672CA" w:rsidRDefault="00D25D40" w:rsidP="00D25D40">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5"/>
        <w:gridCol w:w="1831"/>
        <w:gridCol w:w="1528"/>
        <w:gridCol w:w="1465"/>
        <w:gridCol w:w="1164"/>
        <w:gridCol w:w="1967"/>
      </w:tblGrid>
      <w:tr w:rsidR="00D25D40" w:rsidRPr="00B672CA" w14:paraId="022E0003" w14:textId="77777777" w:rsidTr="00696322">
        <w:tc>
          <w:tcPr>
            <w:tcW w:w="2498" w:type="dxa"/>
          </w:tcPr>
          <w:p w14:paraId="3121FCFF" w14:textId="77777777" w:rsidR="00D25D40" w:rsidRPr="00B672CA" w:rsidRDefault="00D25D40" w:rsidP="00D46460">
            <w:pPr>
              <w:pStyle w:val="Tableheading"/>
            </w:pPr>
            <w:r w:rsidRPr="00B672CA">
              <w:t>Agency Coordinator, Agency Name</w:t>
            </w:r>
          </w:p>
        </w:tc>
        <w:tc>
          <w:tcPr>
            <w:tcW w:w="1871" w:type="dxa"/>
          </w:tcPr>
          <w:p w14:paraId="7FF38D7D" w14:textId="77777777" w:rsidR="00D25D40" w:rsidRPr="00B672CA" w:rsidRDefault="00D25D40" w:rsidP="00D46460">
            <w:pPr>
              <w:pStyle w:val="Tableheading"/>
            </w:pPr>
            <w:r w:rsidRPr="00B672CA">
              <w:t>Signature</w:t>
            </w:r>
          </w:p>
        </w:tc>
        <w:tc>
          <w:tcPr>
            <w:tcW w:w="1585" w:type="dxa"/>
          </w:tcPr>
          <w:p w14:paraId="3D87DFDC" w14:textId="77777777" w:rsidR="00D25D40" w:rsidRPr="00B672CA" w:rsidRDefault="00D25D40" w:rsidP="00D46460">
            <w:pPr>
              <w:pStyle w:val="Tableheading"/>
            </w:pPr>
            <w:r w:rsidRPr="00B672CA">
              <w:t>Date</w:t>
            </w:r>
          </w:p>
          <w:p w14:paraId="20A3C0AF" w14:textId="77777777" w:rsidR="00D25D40" w:rsidRPr="00B672CA" w:rsidRDefault="00D25D40" w:rsidP="00D46460">
            <w:pPr>
              <w:pStyle w:val="Tableheading"/>
            </w:pPr>
            <w:r w:rsidRPr="00B672CA">
              <w:t xml:space="preserve">(mm/dd/yyyy) </w:t>
            </w:r>
          </w:p>
        </w:tc>
        <w:tc>
          <w:tcPr>
            <w:tcW w:w="1741" w:type="dxa"/>
          </w:tcPr>
          <w:p w14:paraId="4523B12C" w14:textId="77777777" w:rsidR="00D25D40" w:rsidRPr="00B672CA" w:rsidRDefault="00D25D40" w:rsidP="00D46460">
            <w:pPr>
              <w:pStyle w:val="Tableheading"/>
            </w:pPr>
            <w:r w:rsidRPr="00B672CA">
              <w:t>Project Contact Person</w:t>
            </w:r>
          </w:p>
        </w:tc>
        <w:tc>
          <w:tcPr>
            <w:tcW w:w="1195" w:type="dxa"/>
          </w:tcPr>
          <w:p w14:paraId="0550B649" w14:textId="77777777" w:rsidR="00D25D40" w:rsidRPr="00B672CA" w:rsidRDefault="00D25D40" w:rsidP="00D46460">
            <w:pPr>
              <w:pStyle w:val="Tableheading"/>
            </w:pPr>
            <w:r w:rsidRPr="00B672CA">
              <w:t>Telephone</w:t>
            </w:r>
          </w:p>
        </w:tc>
        <w:tc>
          <w:tcPr>
            <w:tcW w:w="1290" w:type="dxa"/>
          </w:tcPr>
          <w:p w14:paraId="046DC512" w14:textId="77777777" w:rsidR="00D25D40" w:rsidRPr="00B672CA" w:rsidRDefault="00D25D40" w:rsidP="00D46460">
            <w:pPr>
              <w:pStyle w:val="Tableheading"/>
            </w:pPr>
            <w:r w:rsidRPr="00B672CA">
              <w:t>Email Address</w:t>
            </w:r>
          </w:p>
        </w:tc>
      </w:tr>
      <w:tr w:rsidR="00027009" w:rsidRPr="00B672CA" w14:paraId="7F2B01C9" w14:textId="77777777" w:rsidTr="00696322">
        <w:tc>
          <w:tcPr>
            <w:tcW w:w="2498" w:type="dxa"/>
          </w:tcPr>
          <w:p w14:paraId="09DE0AE2" w14:textId="77777777" w:rsidR="00027009" w:rsidRPr="00B672CA" w:rsidRDefault="00027009" w:rsidP="00044D8E">
            <w:pPr>
              <w:pStyle w:val="Tabletext"/>
            </w:pPr>
            <w:r w:rsidRPr="00B672CA">
              <w:t>Ms. Kelly West</w:t>
            </w:r>
          </w:p>
          <w:p w14:paraId="26543BD2" w14:textId="77777777" w:rsidR="00027009" w:rsidRPr="00B672CA" w:rsidRDefault="00027009" w:rsidP="00044D8E">
            <w:pPr>
              <w:pStyle w:val="Tabletext"/>
            </w:pPr>
            <w:r w:rsidRPr="00B672CA">
              <w:t>UN Environment/GEF Coordinator</w:t>
            </w:r>
          </w:p>
          <w:p w14:paraId="0887B837" w14:textId="77777777" w:rsidR="00027009" w:rsidRPr="00DB279B" w:rsidRDefault="00027009" w:rsidP="00044D8E">
            <w:pPr>
              <w:pStyle w:val="Tabletext"/>
              <w:rPr>
                <w:lang w:val="fr-CH"/>
              </w:rPr>
            </w:pPr>
            <w:r w:rsidRPr="00DB279B">
              <w:rPr>
                <w:lang w:val="fr-CH"/>
              </w:rPr>
              <w:t>Portfolio Manager</w:t>
            </w:r>
          </w:p>
          <w:p w14:paraId="59B2D00C" w14:textId="77777777" w:rsidR="00027009" w:rsidRPr="00DB279B" w:rsidRDefault="00027009" w:rsidP="00044D8E">
            <w:pPr>
              <w:pStyle w:val="Tabletext"/>
              <w:rPr>
                <w:lang w:val="fr-CH"/>
              </w:rPr>
            </w:pPr>
            <w:r w:rsidRPr="00DB279B">
              <w:rPr>
                <w:lang w:val="fr-CH"/>
              </w:rPr>
              <w:t>Corporate Services Division</w:t>
            </w:r>
          </w:p>
          <w:p w14:paraId="39C3169B" w14:textId="3BE453CC" w:rsidR="00027009" w:rsidRPr="00DB279B" w:rsidRDefault="00027009" w:rsidP="00044D8E">
            <w:pPr>
              <w:pStyle w:val="Tabletext"/>
              <w:rPr>
                <w:lang w:val="fr-CH"/>
              </w:rPr>
            </w:pPr>
            <w:r w:rsidRPr="00DB279B">
              <w:rPr>
                <w:lang w:val="fr-CH"/>
              </w:rPr>
              <w:t>UN Environment</w:t>
            </w:r>
          </w:p>
        </w:tc>
        <w:tc>
          <w:tcPr>
            <w:tcW w:w="1871" w:type="dxa"/>
          </w:tcPr>
          <w:p w14:paraId="0C4715E6" w14:textId="3CA0A578" w:rsidR="00027009" w:rsidRPr="00DB279B" w:rsidRDefault="006A6C7F" w:rsidP="00044D8E">
            <w:pPr>
              <w:pStyle w:val="Tabletext"/>
              <w:rPr>
                <w:lang w:val="fr-CH"/>
              </w:rPr>
            </w:pPr>
            <w:r>
              <w:rPr>
                <w:noProof/>
                <w:lang w:val="en-US"/>
              </w:rPr>
              <w:drawing>
                <wp:inline distT="0" distB="0" distL="0" distR="0" wp14:anchorId="65E90278" wp14:editId="50F0B01A">
                  <wp:extent cx="975360" cy="289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75360" cy="289560"/>
                          </a:xfrm>
                          <a:prstGeom prst="rect">
                            <a:avLst/>
                          </a:prstGeom>
                          <a:noFill/>
                          <a:ln>
                            <a:noFill/>
                          </a:ln>
                        </pic:spPr>
                      </pic:pic>
                    </a:graphicData>
                  </a:graphic>
                </wp:inline>
              </w:drawing>
            </w:r>
          </w:p>
        </w:tc>
        <w:tc>
          <w:tcPr>
            <w:tcW w:w="1585" w:type="dxa"/>
          </w:tcPr>
          <w:p w14:paraId="1E1FDE04" w14:textId="0678CBCD" w:rsidR="00027009" w:rsidRPr="00DB279B" w:rsidRDefault="006A6C7F" w:rsidP="00044D8E">
            <w:pPr>
              <w:pStyle w:val="Tabletext"/>
              <w:rPr>
                <w:lang w:val="fr-CH"/>
              </w:rPr>
            </w:pPr>
            <w:r w:rsidRPr="006A6C7F">
              <w:rPr>
                <w:rFonts w:eastAsia="Times New Roman"/>
                <w:sz w:val="22"/>
                <w:szCs w:val="22"/>
                <w:lang w:val="en-US"/>
              </w:rPr>
              <w:t xml:space="preserve">December </w:t>
            </w:r>
            <w:r>
              <w:rPr>
                <w:lang w:val="fr-CH"/>
              </w:rPr>
              <w:t>22, 2017</w:t>
            </w:r>
          </w:p>
        </w:tc>
        <w:tc>
          <w:tcPr>
            <w:tcW w:w="1741" w:type="dxa"/>
          </w:tcPr>
          <w:p w14:paraId="588184D6" w14:textId="77777777" w:rsidR="00027009" w:rsidRPr="00B672CA" w:rsidRDefault="00027009" w:rsidP="00044D8E">
            <w:pPr>
              <w:pStyle w:val="Tabletext"/>
              <w:rPr>
                <w:bCs/>
              </w:rPr>
            </w:pPr>
            <w:bookmarkStart w:id="20" w:name="ContactName_01"/>
            <w:r w:rsidRPr="00B672CA">
              <w:rPr>
                <w:bCs/>
              </w:rPr>
              <w:t>Ersin Esen</w:t>
            </w:r>
          </w:p>
          <w:p w14:paraId="4795018A" w14:textId="19EA978D" w:rsidR="00027009" w:rsidRPr="00B672CA" w:rsidRDefault="00027009" w:rsidP="00044D8E">
            <w:pPr>
              <w:pStyle w:val="Tabletext"/>
            </w:pPr>
            <w:r w:rsidRPr="00B672CA">
              <w:t>Task Manager</w:t>
            </w:r>
            <w:bookmarkEnd w:id="20"/>
          </w:p>
        </w:tc>
        <w:tc>
          <w:tcPr>
            <w:tcW w:w="1195" w:type="dxa"/>
          </w:tcPr>
          <w:p w14:paraId="3A68ECEA" w14:textId="28334325" w:rsidR="00027009" w:rsidRPr="00B672CA" w:rsidRDefault="00027009" w:rsidP="00044D8E">
            <w:pPr>
              <w:pStyle w:val="Tabletext"/>
            </w:pPr>
            <w:bookmarkStart w:id="21" w:name="ContactPhone_01"/>
            <w:r w:rsidRPr="00B672CA">
              <w:t>+41-22-917 8196</w:t>
            </w:r>
            <w:bookmarkEnd w:id="21"/>
          </w:p>
        </w:tc>
        <w:tc>
          <w:tcPr>
            <w:tcW w:w="1290" w:type="dxa"/>
          </w:tcPr>
          <w:p w14:paraId="6655A86B" w14:textId="3A246C78" w:rsidR="00027009" w:rsidRPr="00B672CA" w:rsidRDefault="00027009" w:rsidP="00044D8E">
            <w:pPr>
              <w:pStyle w:val="Tabletext"/>
            </w:pPr>
            <w:r w:rsidRPr="00B672CA">
              <w:t>Ersin.Esen@unep.org</w:t>
            </w:r>
            <w:r w:rsidRPr="00B672CA" w:rsidDel="00312877">
              <w:t xml:space="preserve"> </w:t>
            </w:r>
          </w:p>
        </w:tc>
      </w:tr>
    </w:tbl>
    <w:p w14:paraId="36509A3F" w14:textId="77777777" w:rsidR="00D25D40" w:rsidRPr="00B672CA" w:rsidRDefault="00D25D40" w:rsidP="00D25D40">
      <w:pPr>
        <w:pBdr>
          <w:bottom w:val="doubleWave" w:sz="6" w:space="1" w:color="auto"/>
        </w:pBdr>
      </w:pPr>
    </w:p>
    <w:p w14:paraId="4D3A3F59" w14:textId="77777777" w:rsidR="00D25D40" w:rsidRPr="00B672CA" w:rsidRDefault="00D25D40" w:rsidP="00DE1086">
      <w:pPr>
        <w:pStyle w:val="Heading1"/>
        <w:rPr>
          <w:lang w:val="en-US"/>
        </w:rPr>
      </w:pPr>
      <w:r w:rsidRPr="00B672CA">
        <w:rPr>
          <w:lang w:val="en-US"/>
        </w:rPr>
        <w:t>Annexes (included in this document)</w:t>
      </w:r>
    </w:p>
    <w:p w14:paraId="4E9D18B7" w14:textId="77777777" w:rsidR="00D25D40" w:rsidRPr="00B672CA" w:rsidRDefault="00D25D40" w:rsidP="00D25D40">
      <w:pPr>
        <w:spacing w:after="120" w:line="240" w:lineRule="auto"/>
        <w:rPr>
          <w:rFonts w:ascii="Times New Roman" w:hAnsi="Times New Roman"/>
        </w:rPr>
      </w:pPr>
    </w:p>
    <w:p w14:paraId="7BCA0715" w14:textId="77777777" w:rsidR="00D25D40" w:rsidRPr="00B672CA" w:rsidRDefault="00D25D40" w:rsidP="00D25D40">
      <w:pPr>
        <w:tabs>
          <w:tab w:val="left" w:pos="1260"/>
        </w:tabs>
        <w:spacing w:after="120" w:line="240" w:lineRule="auto"/>
        <w:rPr>
          <w:rFonts w:ascii="Times New Roman" w:eastAsia="Times New Roman" w:hAnsi="Times New Roman"/>
          <w:bCs/>
          <w:caps/>
        </w:rPr>
      </w:pPr>
      <w:r w:rsidRPr="00B672CA">
        <w:rPr>
          <w:rFonts w:ascii="Times New Roman" w:hAnsi="Times New Roman"/>
        </w:rPr>
        <w:fldChar w:fldCharType="begin"/>
      </w:r>
      <w:r w:rsidRPr="00B672CA">
        <w:rPr>
          <w:rFonts w:ascii="Times New Roman" w:hAnsi="Times New Roman"/>
        </w:rPr>
        <w:instrText xml:space="preserve"> TOC \n \h \z \t "Annex heading,1" </w:instrText>
      </w:r>
      <w:r w:rsidRPr="00B672CA">
        <w:rPr>
          <w:rFonts w:ascii="Times New Roman" w:hAnsi="Times New Roman"/>
        </w:rPr>
        <w:fldChar w:fldCharType="separate"/>
      </w:r>
      <w:hyperlink w:anchor="_Toc483303065" w:history="1">
        <w:r w:rsidRPr="00B672CA">
          <w:rPr>
            <w:rStyle w:val="Hyperlink"/>
            <w:rFonts w:ascii="Times New Roman" w:hAnsi="Times New Roman"/>
          </w:rPr>
          <w:t>Annex A:</w:t>
        </w:r>
        <w:r w:rsidRPr="00B672CA">
          <w:rPr>
            <w:rStyle w:val="Hyperlink"/>
            <w:rFonts w:ascii="Times New Roman" w:hAnsi="Times New Roman"/>
          </w:rPr>
          <w:tab/>
          <w:t>Project Results Framework</w:t>
        </w:r>
      </w:hyperlink>
    </w:p>
    <w:p w14:paraId="107EB255" w14:textId="77777777" w:rsidR="00D25D40" w:rsidRPr="00B672CA" w:rsidRDefault="0004701D" w:rsidP="00D25D40">
      <w:pPr>
        <w:tabs>
          <w:tab w:val="left" w:pos="1260"/>
        </w:tabs>
        <w:spacing w:after="120" w:line="240" w:lineRule="auto"/>
        <w:rPr>
          <w:rFonts w:ascii="Times New Roman" w:eastAsia="Times New Roman" w:hAnsi="Times New Roman"/>
          <w:bCs/>
          <w:caps/>
        </w:rPr>
      </w:pPr>
      <w:hyperlink w:anchor="_Toc483303066" w:history="1">
        <w:r w:rsidR="00D25D40" w:rsidRPr="00B672CA">
          <w:rPr>
            <w:rStyle w:val="Hyperlink"/>
            <w:rFonts w:ascii="Times New Roman" w:hAnsi="Times New Roman"/>
          </w:rPr>
          <w:t>Annex B:</w:t>
        </w:r>
        <w:r w:rsidR="00D25D40" w:rsidRPr="00B672CA">
          <w:rPr>
            <w:rStyle w:val="Hyperlink"/>
            <w:rFonts w:ascii="Times New Roman" w:hAnsi="Times New Roman"/>
          </w:rPr>
          <w:tab/>
          <w:t>Responses to Project Reviews</w:t>
        </w:r>
      </w:hyperlink>
    </w:p>
    <w:p w14:paraId="678C2A89" w14:textId="77777777" w:rsidR="00D25D40" w:rsidRPr="00B672CA" w:rsidRDefault="0004701D" w:rsidP="00D25D40">
      <w:pPr>
        <w:tabs>
          <w:tab w:val="left" w:pos="1260"/>
        </w:tabs>
        <w:spacing w:after="120" w:line="240" w:lineRule="auto"/>
        <w:rPr>
          <w:rFonts w:ascii="Times New Roman" w:eastAsia="Times New Roman" w:hAnsi="Times New Roman"/>
          <w:bCs/>
          <w:caps/>
        </w:rPr>
      </w:pPr>
      <w:hyperlink w:anchor="_Toc483303067" w:history="1">
        <w:r w:rsidR="00D25D40" w:rsidRPr="00B672CA">
          <w:rPr>
            <w:rStyle w:val="Hyperlink"/>
            <w:rFonts w:ascii="Times New Roman" w:hAnsi="Times New Roman"/>
          </w:rPr>
          <w:t>Annex C:</w:t>
        </w:r>
        <w:r w:rsidR="00D25D40" w:rsidRPr="00B672CA">
          <w:rPr>
            <w:rStyle w:val="Hyperlink"/>
            <w:rFonts w:ascii="Times New Roman" w:hAnsi="Times New Roman"/>
          </w:rPr>
          <w:tab/>
          <w:t>Status of Implementation of Project Preparation Activities and the Use of Funds</w:t>
        </w:r>
      </w:hyperlink>
    </w:p>
    <w:p w14:paraId="0E98C5B6" w14:textId="1007A36F" w:rsidR="00D25D40" w:rsidRPr="00B672CA" w:rsidRDefault="0004701D" w:rsidP="00D25D40">
      <w:pPr>
        <w:tabs>
          <w:tab w:val="left" w:pos="1260"/>
        </w:tabs>
        <w:spacing w:after="120" w:line="240" w:lineRule="auto"/>
      </w:pPr>
      <w:hyperlink w:anchor="_Toc483303068" w:history="1">
        <w:r w:rsidR="00D25D40" w:rsidRPr="00B672CA">
          <w:rPr>
            <w:rStyle w:val="Hyperlink"/>
            <w:rFonts w:ascii="Times New Roman" w:hAnsi="Times New Roman"/>
          </w:rPr>
          <w:t>Annex D:</w:t>
        </w:r>
        <w:r w:rsidR="00D25D40" w:rsidRPr="00B672CA">
          <w:rPr>
            <w:rStyle w:val="Hyperlink"/>
            <w:rFonts w:ascii="Times New Roman" w:hAnsi="Times New Roman"/>
          </w:rPr>
          <w:tab/>
          <w:t>Calendar of Expected Reflows</w:t>
        </w:r>
      </w:hyperlink>
      <w:r w:rsidR="00D25D40" w:rsidRPr="00B672CA">
        <w:rPr>
          <w:rFonts w:ascii="Times New Roman" w:hAnsi="Times New Roman"/>
        </w:rPr>
        <w:fldChar w:fldCharType="end"/>
      </w:r>
    </w:p>
    <w:p w14:paraId="15E5832E" w14:textId="77777777" w:rsidR="00D25D40" w:rsidRPr="00B672CA" w:rsidRDefault="00D25D40" w:rsidP="00DE1086">
      <w:pPr>
        <w:pStyle w:val="Heading1"/>
        <w:rPr>
          <w:lang w:val="en-US"/>
        </w:rPr>
      </w:pPr>
      <w:r w:rsidRPr="00B672CA">
        <w:rPr>
          <w:lang w:val="en-US"/>
        </w:rPr>
        <w:t>Other Annexes (submitted along with this document but as separate MS Word and Excel files)</w:t>
      </w:r>
    </w:p>
    <w:p w14:paraId="20E627B2" w14:textId="77777777" w:rsidR="00D25D40" w:rsidRPr="00B672CA" w:rsidRDefault="00D25D40" w:rsidP="00D25D40">
      <w:pPr>
        <w:spacing w:after="120" w:line="240" w:lineRule="auto"/>
        <w:rPr>
          <w:rFonts w:ascii="Times New Roman" w:hAnsi="Times New Roman"/>
          <w:color w:val="000000"/>
        </w:rPr>
      </w:pPr>
    </w:p>
    <w:p w14:paraId="388DA30B" w14:textId="1339DCF4" w:rsidR="00D25D40"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EA6134" w:rsidRPr="00B672CA">
        <w:rPr>
          <w:rFonts w:ascii="Times New Roman" w:hAnsi="Times New Roman"/>
          <w:color w:val="000000"/>
        </w:rPr>
        <w:t>E</w:t>
      </w:r>
      <w:r w:rsidRPr="00B672CA">
        <w:rPr>
          <w:rFonts w:ascii="Times New Roman" w:hAnsi="Times New Roman"/>
          <w:color w:val="000000"/>
        </w:rPr>
        <w:t>:</w:t>
      </w:r>
      <w:r w:rsidRPr="00B672CA">
        <w:rPr>
          <w:rFonts w:ascii="Times New Roman" w:hAnsi="Times New Roman"/>
          <w:color w:val="000000"/>
        </w:rPr>
        <w:tab/>
        <w:t xml:space="preserve">Description of </w:t>
      </w:r>
      <w:r w:rsidR="00030E17" w:rsidRPr="00B672CA">
        <w:rPr>
          <w:rFonts w:ascii="Times New Roman" w:hAnsi="Times New Roman"/>
          <w:color w:val="000000"/>
        </w:rPr>
        <w:t>t</w:t>
      </w:r>
      <w:r w:rsidRPr="00B672CA">
        <w:rPr>
          <w:rFonts w:ascii="Times New Roman" w:hAnsi="Times New Roman"/>
          <w:color w:val="000000"/>
        </w:rPr>
        <w:t xml:space="preserve">arget </w:t>
      </w:r>
      <w:r w:rsidR="00030E17" w:rsidRPr="00B672CA">
        <w:rPr>
          <w:rFonts w:ascii="Times New Roman" w:hAnsi="Times New Roman"/>
          <w:color w:val="000000"/>
        </w:rPr>
        <w:t>l</w:t>
      </w:r>
      <w:r w:rsidRPr="00B672CA">
        <w:rPr>
          <w:rFonts w:ascii="Times New Roman" w:hAnsi="Times New Roman"/>
          <w:color w:val="000000"/>
        </w:rPr>
        <w:t>andscape</w:t>
      </w:r>
      <w:r w:rsidR="00B171AF" w:rsidRPr="00B672CA">
        <w:rPr>
          <w:rFonts w:ascii="Times New Roman" w:hAnsi="Times New Roman"/>
          <w:color w:val="000000"/>
        </w:rPr>
        <w:t>s</w:t>
      </w:r>
      <w:r w:rsidRPr="00B672CA">
        <w:rPr>
          <w:rFonts w:ascii="Times New Roman" w:hAnsi="Times New Roman"/>
          <w:color w:val="000000"/>
        </w:rPr>
        <w:t>.docx</w:t>
      </w:r>
    </w:p>
    <w:p w14:paraId="2CB4AC7F" w14:textId="0DEAB84A" w:rsidR="00D25D40"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EA6134" w:rsidRPr="00B672CA">
        <w:rPr>
          <w:rFonts w:ascii="Times New Roman" w:hAnsi="Times New Roman"/>
          <w:color w:val="000000"/>
        </w:rPr>
        <w:t>F</w:t>
      </w:r>
      <w:r w:rsidRPr="00B672CA">
        <w:rPr>
          <w:rFonts w:ascii="Times New Roman" w:hAnsi="Times New Roman"/>
          <w:color w:val="000000"/>
        </w:rPr>
        <w:t>:</w:t>
      </w:r>
      <w:r w:rsidRPr="00B672CA">
        <w:rPr>
          <w:rFonts w:ascii="Times New Roman" w:hAnsi="Times New Roman"/>
          <w:color w:val="000000"/>
        </w:rPr>
        <w:tab/>
        <w:t xml:space="preserve">Detailed GEF </w:t>
      </w:r>
      <w:r w:rsidR="00030E17" w:rsidRPr="00B672CA">
        <w:rPr>
          <w:rFonts w:ascii="Times New Roman" w:hAnsi="Times New Roman"/>
          <w:color w:val="000000"/>
        </w:rPr>
        <w:t>b</w:t>
      </w:r>
      <w:r w:rsidRPr="00B672CA">
        <w:rPr>
          <w:rFonts w:ascii="Times New Roman" w:hAnsi="Times New Roman"/>
          <w:color w:val="000000"/>
        </w:rPr>
        <w:t xml:space="preserve">udget </w:t>
      </w:r>
      <w:r w:rsidR="00030E17" w:rsidRPr="00B672CA">
        <w:rPr>
          <w:rFonts w:ascii="Times New Roman" w:hAnsi="Times New Roman"/>
          <w:color w:val="000000"/>
        </w:rPr>
        <w:t>by UNEP budget lines</w:t>
      </w:r>
      <w:r w:rsidRPr="00B672CA">
        <w:rPr>
          <w:rFonts w:ascii="Times New Roman" w:hAnsi="Times New Roman"/>
          <w:color w:val="000000"/>
        </w:rPr>
        <w:t>.</w:t>
      </w:r>
      <w:r w:rsidR="00030E17" w:rsidRPr="00B672CA">
        <w:rPr>
          <w:rFonts w:ascii="Times New Roman" w:hAnsi="Times New Roman"/>
          <w:color w:val="000000"/>
        </w:rPr>
        <w:t>docx</w:t>
      </w:r>
    </w:p>
    <w:p w14:paraId="2A4A5343" w14:textId="42DE6916" w:rsidR="00D25D40" w:rsidRPr="00B672CA" w:rsidRDefault="00EA6134"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G</w:t>
      </w:r>
      <w:r w:rsidR="00030E17" w:rsidRPr="00B672CA">
        <w:rPr>
          <w:rFonts w:ascii="Times New Roman" w:hAnsi="Times New Roman"/>
          <w:color w:val="000000"/>
        </w:rPr>
        <w:t>:</w:t>
      </w:r>
      <w:r w:rsidR="00030E17" w:rsidRPr="00B672CA">
        <w:rPr>
          <w:rFonts w:ascii="Times New Roman" w:hAnsi="Times New Roman"/>
          <w:color w:val="000000"/>
        </w:rPr>
        <w:tab/>
      </w:r>
      <w:r w:rsidR="0046305F" w:rsidRPr="00B672CA">
        <w:rPr>
          <w:rFonts w:ascii="Times New Roman" w:hAnsi="Times New Roman"/>
          <w:color w:val="000000"/>
        </w:rPr>
        <w:t xml:space="preserve">Cofinancing by source and </w:t>
      </w:r>
      <w:r w:rsidR="00030E17" w:rsidRPr="00B672CA">
        <w:rPr>
          <w:rFonts w:ascii="Times New Roman" w:hAnsi="Times New Roman"/>
          <w:color w:val="000000"/>
        </w:rPr>
        <w:t>UNEP budget lines.docx</w:t>
      </w:r>
    </w:p>
    <w:p w14:paraId="006903FD" w14:textId="3068C529" w:rsidR="00D25D40"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w:t>
      </w:r>
      <w:r w:rsidR="00EA6134" w:rsidRPr="00B672CA">
        <w:rPr>
          <w:rFonts w:ascii="Times New Roman" w:hAnsi="Times New Roman"/>
          <w:color w:val="000000"/>
        </w:rPr>
        <w:t>ex H</w:t>
      </w:r>
      <w:r w:rsidRPr="00B672CA">
        <w:rPr>
          <w:rFonts w:ascii="Times New Roman" w:hAnsi="Times New Roman"/>
          <w:color w:val="000000"/>
        </w:rPr>
        <w:t>:</w:t>
      </w:r>
      <w:r w:rsidRPr="00B672CA">
        <w:rPr>
          <w:rFonts w:ascii="Times New Roman" w:hAnsi="Times New Roman"/>
          <w:color w:val="000000"/>
        </w:rPr>
        <w:tab/>
        <w:t>Key Deliverables and Benchmarks.docx</w:t>
      </w:r>
    </w:p>
    <w:p w14:paraId="57CAC1CC" w14:textId="26D9F700" w:rsidR="00D25D40" w:rsidRPr="00B672CA" w:rsidRDefault="00EA6134"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I</w:t>
      </w:r>
      <w:r w:rsidR="00D25D40" w:rsidRPr="00B672CA">
        <w:rPr>
          <w:rFonts w:ascii="Times New Roman" w:hAnsi="Times New Roman"/>
          <w:color w:val="000000"/>
        </w:rPr>
        <w:t>:</w:t>
      </w:r>
      <w:r w:rsidR="00D25D40" w:rsidRPr="00B672CA">
        <w:rPr>
          <w:rFonts w:ascii="Times New Roman" w:hAnsi="Times New Roman"/>
          <w:color w:val="000000"/>
        </w:rPr>
        <w:tab/>
        <w:t>Work</w:t>
      </w:r>
      <w:r w:rsidR="00DC5FBE" w:rsidRPr="00B672CA">
        <w:rPr>
          <w:rFonts w:ascii="Times New Roman" w:hAnsi="Times New Roman"/>
          <w:color w:val="000000"/>
        </w:rPr>
        <w:t xml:space="preserve"> </w:t>
      </w:r>
      <w:r w:rsidR="00D25D40" w:rsidRPr="00B672CA">
        <w:rPr>
          <w:rFonts w:ascii="Times New Roman" w:hAnsi="Times New Roman"/>
          <w:color w:val="000000"/>
        </w:rPr>
        <w:t>plan</w:t>
      </w:r>
      <w:r w:rsidR="00E90A17" w:rsidRPr="00B672CA">
        <w:rPr>
          <w:rFonts w:ascii="Times New Roman" w:hAnsi="Times New Roman"/>
          <w:color w:val="000000"/>
        </w:rPr>
        <w:t xml:space="preserve"> and timetable</w:t>
      </w:r>
      <w:r w:rsidR="00D25D40" w:rsidRPr="00B672CA">
        <w:rPr>
          <w:rFonts w:ascii="Times New Roman" w:hAnsi="Times New Roman"/>
          <w:color w:val="000000"/>
        </w:rPr>
        <w:t>.</w:t>
      </w:r>
      <w:r w:rsidR="00E90A17" w:rsidRPr="00B672CA">
        <w:rPr>
          <w:rFonts w:ascii="Times New Roman" w:hAnsi="Times New Roman"/>
          <w:color w:val="000000"/>
        </w:rPr>
        <w:t>doc</w:t>
      </w:r>
      <w:r w:rsidR="00D25D40" w:rsidRPr="00B672CA">
        <w:rPr>
          <w:rFonts w:ascii="Times New Roman" w:hAnsi="Times New Roman"/>
          <w:color w:val="000000"/>
        </w:rPr>
        <w:t>x</w:t>
      </w:r>
    </w:p>
    <w:p w14:paraId="1879947E" w14:textId="3DCCF4D9" w:rsidR="00D25D40" w:rsidRPr="00B672CA" w:rsidRDefault="00EA6134"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J</w:t>
      </w:r>
      <w:r w:rsidR="00D25D40" w:rsidRPr="00B672CA">
        <w:rPr>
          <w:rFonts w:ascii="Times New Roman" w:hAnsi="Times New Roman"/>
          <w:color w:val="000000"/>
        </w:rPr>
        <w:t>:</w:t>
      </w:r>
      <w:r w:rsidR="00D25D40" w:rsidRPr="00B672CA">
        <w:rPr>
          <w:rFonts w:ascii="Times New Roman" w:hAnsi="Times New Roman"/>
          <w:color w:val="000000"/>
        </w:rPr>
        <w:tab/>
        <w:t>Costed M&amp;E Plan.docx</w:t>
      </w:r>
    </w:p>
    <w:p w14:paraId="0B425E6C" w14:textId="4B6C33E0" w:rsidR="00D25D40" w:rsidRPr="00B672CA" w:rsidRDefault="00EA6134"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K</w:t>
      </w:r>
      <w:r w:rsidR="00D25D40" w:rsidRPr="00B672CA">
        <w:rPr>
          <w:rFonts w:ascii="Times New Roman" w:hAnsi="Times New Roman"/>
          <w:color w:val="000000"/>
        </w:rPr>
        <w:t>:</w:t>
      </w:r>
      <w:r w:rsidR="00D25D40" w:rsidRPr="00B672CA">
        <w:rPr>
          <w:rFonts w:ascii="Times New Roman" w:hAnsi="Times New Roman"/>
          <w:color w:val="000000"/>
        </w:rPr>
        <w:tab/>
        <w:t>Summary of Reporting Requirements and Responsibilities.docx</w:t>
      </w:r>
    </w:p>
    <w:p w14:paraId="388B6A95" w14:textId="6552B99F" w:rsidR="00D25D40" w:rsidRPr="00B672CA" w:rsidRDefault="00EA6134"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C33B99" w:rsidRPr="00B672CA">
        <w:rPr>
          <w:rFonts w:ascii="Times New Roman" w:hAnsi="Times New Roman"/>
          <w:color w:val="000000"/>
        </w:rPr>
        <w:t>L</w:t>
      </w:r>
      <w:r w:rsidR="00D25D40" w:rsidRPr="00B672CA">
        <w:rPr>
          <w:rFonts w:ascii="Times New Roman" w:hAnsi="Times New Roman"/>
          <w:color w:val="000000"/>
        </w:rPr>
        <w:t>:</w:t>
      </w:r>
      <w:r w:rsidR="00D25D40" w:rsidRPr="00B672CA">
        <w:rPr>
          <w:rFonts w:ascii="Times New Roman" w:hAnsi="Times New Roman"/>
          <w:color w:val="000000"/>
        </w:rPr>
        <w:tab/>
      </w:r>
      <w:r w:rsidR="007F404D" w:rsidRPr="00B672CA">
        <w:rPr>
          <w:rFonts w:ascii="Times New Roman" w:hAnsi="Times New Roman"/>
          <w:color w:val="000000"/>
        </w:rPr>
        <w:t>Co-financing Commitment Letter from IDH</w:t>
      </w:r>
      <w:r w:rsidR="00D25D40" w:rsidRPr="00B672CA">
        <w:rPr>
          <w:rFonts w:ascii="Times New Roman" w:hAnsi="Times New Roman"/>
          <w:color w:val="000000"/>
        </w:rPr>
        <w:t>.</w:t>
      </w:r>
      <w:r w:rsidR="007F404D" w:rsidRPr="00B672CA">
        <w:rPr>
          <w:rFonts w:ascii="Times New Roman" w:hAnsi="Times New Roman"/>
          <w:color w:val="000000"/>
        </w:rPr>
        <w:t>pdf</w:t>
      </w:r>
    </w:p>
    <w:p w14:paraId="578497D7" w14:textId="31A7E932" w:rsidR="00D25D40" w:rsidRPr="00B672CA" w:rsidRDefault="00C33B99"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M</w:t>
      </w:r>
      <w:r w:rsidR="00D25D40" w:rsidRPr="00B672CA">
        <w:rPr>
          <w:rFonts w:ascii="Times New Roman" w:hAnsi="Times New Roman"/>
          <w:color w:val="000000"/>
        </w:rPr>
        <w:t>:</w:t>
      </w:r>
      <w:r w:rsidR="00D25D40" w:rsidRPr="00B672CA">
        <w:rPr>
          <w:rFonts w:ascii="Times New Roman" w:hAnsi="Times New Roman"/>
          <w:color w:val="000000"/>
        </w:rPr>
        <w:tab/>
        <w:t xml:space="preserve">Co-financing Commitment Letter from </w:t>
      </w:r>
      <w:r w:rsidR="007F404D" w:rsidRPr="00B672CA">
        <w:rPr>
          <w:rFonts w:ascii="Times New Roman" w:hAnsi="Times New Roman"/>
          <w:color w:val="000000"/>
        </w:rPr>
        <w:t>AndGreenFund</w:t>
      </w:r>
      <w:r w:rsidR="00D25D40" w:rsidRPr="00B672CA">
        <w:rPr>
          <w:rFonts w:ascii="Times New Roman" w:hAnsi="Times New Roman"/>
          <w:color w:val="000000"/>
        </w:rPr>
        <w:t>.docx</w:t>
      </w:r>
    </w:p>
    <w:p w14:paraId="14C1F869" w14:textId="15A15DD7" w:rsidR="00D25D40"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C33B99" w:rsidRPr="00B672CA">
        <w:rPr>
          <w:rFonts w:ascii="Times New Roman" w:hAnsi="Times New Roman"/>
          <w:color w:val="000000"/>
        </w:rPr>
        <w:t>N</w:t>
      </w:r>
      <w:r w:rsidRPr="00B672CA">
        <w:rPr>
          <w:rFonts w:ascii="Times New Roman" w:hAnsi="Times New Roman"/>
          <w:color w:val="000000"/>
        </w:rPr>
        <w:t>:</w:t>
      </w:r>
      <w:r w:rsidRPr="00B672CA">
        <w:rPr>
          <w:rFonts w:ascii="Times New Roman" w:hAnsi="Times New Roman"/>
          <w:color w:val="000000"/>
        </w:rPr>
        <w:tab/>
      </w:r>
      <w:r w:rsidR="00101D6E" w:rsidRPr="00B672CA">
        <w:rPr>
          <w:rFonts w:ascii="Times New Roman" w:hAnsi="Times New Roman"/>
          <w:color w:val="000000"/>
        </w:rPr>
        <w:t>GEF-6 PMAT AndGreenFund project</w:t>
      </w:r>
      <w:r w:rsidRPr="00B672CA">
        <w:rPr>
          <w:rFonts w:ascii="Times New Roman" w:hAnsi="Times New Roman"/>
          <w:color w:val="000000"/>
        </w:rPr>
        <w:t xml:space="preserve">.xlsx </w:t>
      </w:r>
    </w:p>
    <w:p w14:paraId="5B25DB80" w14:textId="2D051A59" w:rsidR="00D25D40"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8E5468" w:rsidRPr="00B672CA">
        <w:rPr>
          <w:rFonts w:ascii="Times New Roman" w:hAnsi="Times New Roman"/>
          <w:color w:val="000000"/>
        </w:rPr>
        <w:t>O</w:t>
      </w:r>
      <w:r w:rsidRPr="00B672CA">
        <w:rPr>
          <w:rFonts w:ascii="Times New Roman" w:hAnsi="Times New Roman"/>
          <w:color w:val="000000"/>
        </w:rPr>
        <w:t>:</w:t>
      </w:r>
      <w:r w:rsidRPr="00B672CA">
        <w:rPr>
          <w:rFonts w:ascii="Times New Roman" w:hAnsi="Times New Roman"/>
          <w:color w:val="000000"/>
        </w:rPr>
        <w:tab/>
        <w:t>Environmental and Social Safeguards Checklist.docx</w:t>
      </w:r>
    </w:p>
    <w:p w14:paraId="0D8309FF" w14:textId="5EE0F1E4" w:rsidR="00ED54AE" w:rsidRPr="00B672CA" w:rsidRDefault="00D25D40"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 xml:space="preserve">Annex </w:t>
      </w:r>
      <w:r w:rsidR="008E5468" w:rsidRPr="00B672CA">
        <w:rPr>
          <w:rFonts w:ascii="Times New Roman" w:hAnsi="Times New Roman"/>
          <w:color w:val="000000"/>
        </w:rPr>
        <w:t>P</w:t>
      </w:r>
      <w:r w:rsidRPr="00B672CA">
        <w:rPr>
          <w:rFonts w:ascii="Times New Roman" w:hAnsi="Times New Roman"/>
          <w:color w:val="000000"/>
        </w:rPr>
        <w:t>:</w:t>
      </w:r>
      <w:r w:rsidRPr="00B672CA">
        <w:rPr>
          <w:rFonts w:ascii="Times New Roman" w:hAnsi="Times New Roman"/>
          <w:color w:val="000000"/>
        </w:rPr>
        <w:tab/>
      </w:r>
      <w:r w:rsidR="00E03816" w:rsidRPr="00B672CA">
        <w:rPr>
          <w:rFonts w:ascii="Times New Roman" w:hAnsi="Times New Roman"/>
          <w:color w:val="000000"/>
        </w:rPr>
        <w:t>Emissions reductions calculations and assumptions.docx</w:t>
      </w:r>
    </w:p>
    <w:p w14:paraId="56629577" w14:textId="4FD761FB" w:rsidR="00D25D40" w:rsidRPr="00B672CA" w:rsidRDefault="00ED54AE" w:rsidP="00D25D40">
      <w:pPr>
        <w:tabs>
          <w:tab w:val="left" w:pos="1260"/>
        </w:tabs>
        <w:spacing w:after="120" w:line="240" w:lineRule="auto"/>
        <w:rPr>
          <w:rFonts w:ascii="Times New Roman" w:hAnsi="Times New Roman"/>
          <w:color w:val="000000"/>
        </w:rPr>
      </w:pPr>
      <w:r w:rsidRPr="00B672CA">
        <w:rPr>
          <w:rFonts w:ascii="Times New Roman" w:hAnsi="Times New Roman"/>
          <w:color w:val="000000"/>
        </w:rPr>
        <w:t>Annex Q:</w:t>
      </w:r>
      <w:r w:rsidRPr="00B672CA">
        <w:rPr>
          <w:rFonts w:ascii="Times New Roman" w:hAnsi="Times New Roman"/>
          <w:color w:val="000000"/>
        </w:rPr>
        <w:tab/>
      </w:r>
      <w:r w:rsidR="008E6D2C" w:rsidRPr="00B672CA">
        <w:rPr>
          <w:rFonts w:ascii="Times New Roman" w:hAnsi="Times New Roman"/>
          <w:color w:val="000000"/>
        </w:rPr>
        <w:t>Acronyms and a</w:t>
      </w:r>
      <w:r w:rsidR="00D25D40" w:rsidRPr="00B672CA">
        <w:rPr>
          <w:rFonts w:ascii="Times New Roman" w:hAnsi="Times New Roman"/>
          <w:color w:val="000000"/>
        </w:rPr>
        <w:t>bbreviations.docx</w:t>
      </w:r>
    </w:p>
    <w:p w14:paraId="2EAE3216" w14:textId="62E5116A" w:rsidR="00C33B99" w:rsidRPr="00B672CA" w:rsidRDefault="00C33B99" w:rsidP="00C33B99">
      <w:pPr>
        <w:tabs>
          <w:tab w:val="left" w:pos="1260"/>
        </w:tabs>
        <w:spacing w:after="120" w:line="240" w:lineRule="auto"/>
        <w:rPr>
          <w:rFonts w:ascii="Times New Roman" w:hAnsi="Times New Roman"/>
          <w:color w:val="000000"/>
        </w:rPr>
      </w:pPr>
    </w:p>
    <w:p w14:paraId="3D84E767" w14:textId="77777777" w:rsidR="00C33B99" w:rsidRPr="00B672CA" w:rsidRDefault="00C33B99" w:rsidP="00C33B99">
      <w:pPr>
        <w:tabs>
          <w:tab w:val="left" w:pos="1260"/>
        </w:tabs>
        <w:spacing w:after="120" w:line="240" w:lineRule="auto"/>
        <w:rPr>
          <w:rFonts w:ascii="Times New Roman" w:hAnsi="Times New Roman"/>
          <w:color w:val="000000"/>
        </w:rPr>
      </w:pPr>
    </w:p>
    <w:p w14:paraId="62B0F3C6" w14:textId="77777777" w:rsidR="00C33B99" w:rsidRPr="00B672CA" w:rsidRDefault="00C33B99" w:rsidP="00D25D40">
      <w:pPr>
        <w:tabs>
          <w:tab w:val="left" w:pos="1260"/>
        </w:tabs>
        <w:spacing w:after="120" w:line="240" w:lineRule="auto"/>
        <w:rPr>
          <w:rFonts w:ascii="Times New Roman" w:hAnsi="Times New Roman"/>
          <w:color w:val="000000"/>
        </w:rPr>
      </w:pPr>
    </w:p>
    <w:p w14:paraId="1F0CD983" w14:textId="77777777" w:rsidR="00D25D40" w:rsidRPr="00B672CA" w:rsidRDefault="00D25D40" w:rsidP="00D25D40">
      <w:pPr>
        <w:tabs>
          <w:tab w:val="left" w:pos="1260"/>
        </w:tabs>
        <w:rPr>
          <w:rFonts w:ascii="Times New Roman" w:hAnsi="Times New Roman"/>
          <w:color w:val="000000"/>
        </w:rPr>
        <w:sectPr w:rsidR="00D25D40" w:rsidRPr="00B672CA" w:rsidSect="00696322">
          <w:type w:val="continuous"/>
          <w:pgSz w:w="12240" w:h="15840" w:code="1"/>
          <w:pgMar w:top="720" w:right="907" w:bottom="1440" w:left="720" w:header="720" w:footer="720" w:gutter="0"/>
          <w:cols w:space="720"/>
          <w:docGrid w:linePitch="360"/>
        </w:sectPr>
      </w:pPr>
    </w:p>
    <w:p w14:paraId="4B0143EA" w14:textId="77777777" w:rsidR="00D25D40" w:rsidRPr="00B672CA" w:rsidRDefault="00D25D40" w:rsidP="003339FD">
      <w:pPr>
        <w:pStyle w:val="Annexheading"/>
      </w:pPr>
      <w:bookmarkStart w:id="22" w:name="_Toc483303065"/>
      <w:r w:rsidRPr="00B672CA">
        <w:t>Annex A:</w:t>
      </w:r>
      <w:r w:rsidRPr="00B672CA">
        <w:tab/>
        <w:t>Project Results Framework</w:t>
      </w:r>
      <w:bookmarkEnd w:id="22"/>
    </w:p>
    <w:tbl>
      <w:tblPr>
        <w:tblW w:w="1312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3127"/>
        <w:gridCol w:w="1080"/>
        <w:gridCol w:w="2257"/>
        <w:gridCol w:w="3402"/>
        <w:gridCol w:w="1260"/>
        <w:gridCol w:w="23"/>
      </w:tblGrid>
      <w:tr w:rsidR="00BF0A92" w:rsidRPr="00280BF9" w14:paraId="196F2466" w14:textId="77777777" w:rsidTr="00044D8E">
        <w:trPr>
          <w:gridAfter w:val="1"/>
          <w:wAfter w:w="23" w:type="dxa"/>
          <w:trHeight w:val="274"/>
          <w:tblHeader/>
        </w:trPr>
        <w:tc>
          <w:tcPr>
            <w:tcW w:w="1980"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6F69AC9F"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Project Objective</w:t>
            </w:r>
          </w:p>
        </w:tc>
        <w:tc>
          <w:tcPr>
            <w:tcW w:w="3127"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441038F6"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Objectively Verifiable Indicators</w:t>
            </w:r>
          </w:p>
        </w:tc>
        <w:tc>
          <w:tcPr>
            <w:tcW w:w="1080"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3D66101B"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Baseline</w:t>
            </w:r>
          </w:p>
        </w:tc>
        <w:tc>
          <w:tcPr>
            <w:tcW w:w="2257"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0F84B461"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Target (by end of 20 year maturity)</w:t>
            </w:r>
          </w:p>
        </w:tc>
        <w:tc>
          <w:tcPr>
            <w:tcW w:w="3402"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7108952C"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Source of verification</w:t>
            </w:r>
          </w:p>
        </w:tc>
        <w:tc>
          <w:tcPr>
            <w:tcW w:w="1260"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714FB211" w14:textId="77777777" w:rsidR="00BF0A92" w:rsidRPr="00280BF9" w:rsidRDefault="00BF0A92" w:rsidP="003339FD">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Risks</w:t>
            </w:r>
          </w:p>
        </w:tc>
      </w:tr>
      <w:tr w:rsidR="0097743C" w:rsidRPr="00280BF9" w14:paraId="7FCB0CD7" w14:textId="77777777" w:rsidTr="008C0BB8">
        <w:trPr>
          <w:gridAfter w:val="1"/>
          <w:wAfter w:w="23" w:type="dxa"/>
          <w:trHeight w:val="522"/>
        </w:trPr>
        <w:tc>
          <w:tcPr>
            <w:tcW w:w="1980" w:type="dxa"/>
            <w:vMerge w:val="restart"/>
            <w:tcBorders>
              <w:top w:val="single" w:sz="4" w:space="0" w:color="auto"/>
              <w:left w:val="single" w:sz="4" w:space="0" w:color="auto"/>
              <w:right w:val="single" w:sz="4" w:space="0" w:color="auto"/>
            </w:tcBorders>
            <w:shd w:val="clear" w:color="auto" w:fill="auto"/>
          </w:tcPr>
          <w:p w14:paraId="57D65420" w14:textId="77777777" w:rsidR="0097743C" w:rsidRPr="00280BF9" w:rsidRDefault="0097743C" w:rsidP="00AA18A3">
            <w:pPr>
              <w:pStyle w:val="Tabletext"/>
              <w:rPr>
                <w:b/>
                <w:bCs/>
              </w:rPr>
            </w:pPr>
            <w:r w:rsidRPr="00280BF9">
              <w:rPr>
                <w:b/>
                <w:bCs/>
              </w:rPr>
              <w:t>Objective</w:t>
            </w:r>
          </w:p>
          <w:p w14:paraId="0D06DB4D" w14:textId="32148245" w:rsidR="0097743C" w:rsidRPr="00280BF9" w:rsidRDefault="0097743C" w:rsidP="00AA18A3">
            <w:pPr>
              <w:pStyle w:val="Tabletext"/>
            </w:pPr>
            <w:r w:rsidRPr="00280BF9">
              <w:t>To maintain, restore or increase forest cover (on and off concession) while intensifying agricultural production and improving the livelihoods of smallholders through piloting the de-risking of private finance in sustainable landscapes in seven target landscapes in Brazil, Indonesia, and Liberia</w:t>
            </w: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5B17C0D5" w14:textId="2D46BEE5" w:rsidR="0097743C" w:rsidRPr="00280BF9" w:rsidRDefault="0097743C" w:rsidP="00AA18A3">
            <w:pPr>
              <w:pStyle w:val="Tabletext"/>
            </w:pPr>
            <w:r w:rsidRPr="00280BF9">
              <w:t>Number of hectares of HCV/HCS conserved</w:t>
            </w:r>
            <w:r w:rsidRPr="00280BF9">
              <w:rPr>
                <w:rStyle w:val="FootnoteReference"/>
                <w:lang w:val="en-US"/>
              </w:rPr>
              <w:footnoteReference w:id="45"/>
            </w:r>
            <w:r w:rsidRPr="00280BF9">
              <w:t xml:space="preserve"> in 7 target landscapes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94D9D7F" w14:textId="01EB6E09" w:rsidR="0097743C" w:rsidRPr="00280BF9" w:rsidRDefault="0097743C" w:rsidP="00AA18A3">
            <w:pPr>
              <w:pStyle w:val="Tabletext"/>
            </w:pPr>
            <w:r w:rsidRPr="00280BF9">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719FDD1C" w14:textId="3FE8F436" w:rsidR="0097743C" w:rsidRPr="00280BF9" w:rsidRDefault="0097743C" w:rsidP="00AA18A3">
            <w:pPr>
              <w:pStyle w:val="Tabletext"/>
            </w:pPr>
            <w:r w:rsidRPr="00280BF9">
              <w:t>258,000 ha</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CF2826B" w14:textId="66ED8426" w:rsidR="0097743C" w:rsidRPr="00280BF9" w:rsidRDefault="0097743C" w:rsidP="00AA18A3">
            <w:pPr>
              <w:pStyle w:val="Tabletext"/>
            </w:pPr>
            <w:r w:rsidRPr="00280BF9">
              <w:t>Satellite monitoring reports/independent third party audit reports/Fund annual report as reported by Investment Advisor</w:t>
            </w:r>
          </w:p>
        </w:tc>
        <w:tc>
          <w:tcPr>
            <w:tcW w:w="1260" w:type="dxa"/>
            <w:vMerge w:val="restart"/>
            <w:tcBorders>
              <w:top w:val="single" w:sz="4" w:space="0" w:color="auto"/>
              <w:left w:val="single" w:sz="4" w:space="0" w:color="auto"/>
              <w:right w:val="single" w:sz="4" w:space="0" w:color="auto"/>
            </w:tcBorders>
            <w:shd w:val="clear" w:color="auto" w:fill="auto"/>
          </w:tcPr>
          <w:p w14:paraId="1E821778" w14:textId="2393DBCC" w:rsidR="0097743C" w:rsidRPr="00280BF9" w:rsidRDefault="0097743C" w:rsidP="00371C61">
            <w:pPr>
              <w:pStyle w:val="Tabletext"/>
            </w:pPr>
            <w:r w:rsidRPr="00280BF9">
              <w:t>Please refer to detailed risk analysis presented in section A.5 of this document.</w:t>
            </w:r>
          </w:p>
        </w:tc>
      </w:tr>
      <w:tr w:rsidR="0097743C" w:rsidRPr="00280BF9" w14:paraId="1DC50F8D" w14:textId="77777777" w:rsidTr="00AF6A48">
        <w:trPr>
          <w:gridAfter w:val="1"/>
          <w:wAfter w:w="23" w:type="dxa"/>
          <w:trHeight w:val="522"/>
        </w:trPr>
        <w:tc>
          <w:tcPr>
            <w:tcW w:w="1980" w:type="dxa"/>
            <w:vMerge/>
            <w:tcBorders>
              <w:left w:val="single" w:sz="4" w:space="0" w:color="auto"/>
              <w:right w:val="single" w:sz="4" w:space="0" w:color="auto"/>
            </w:tcBorders>
            <w:shd w:val="clear" w:color="auto" w:fill="auto"/>
          </w:tcPr>
          <w:p w14:paraId="21288273" w14:textId="77777777" w:rsidR="0097743C" w:rsidRPr="00280BF9" w:rsidRDefault="0097743C" w:rsidP="00AA18A3">
            <w:pPr>
              <w:pStyle w:val="Tabletext"/>
            </w:pP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2A21432E" w14:textId="40F3900E" w:rsidR="0097743C" w:rsidRPr="00280BF9" w:rsidRDefault="0097743C" w:rsidP="00AA18A3">
            <w:pPr>
              <w:pStyle w:val="Tabletext"/>
            </w:pPr>
            <w:r w:rsidRPr="00280BF9">
              <w:t>Number of hectares of agricultural land regenerated and intensified in 7 target landscapes</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91B078A" w14:textId="5AEA324A" w:rsidR="0097743C" w:rsidRPr="00280BF9" w:rsidRDefault="0097743C" w:rsidP="00AA18A3">
            <w:pPr>
              <w:pStyle w:val="Tabletext"/>
            </w:pPr>
            <w:r w:rsidRPr="00280BF9">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7CFD0C13" w14:textId="65982C7A" w:rsidR="0097743C" w:rsidRPr="00280BF9" w:rsidRDefault="0097743C" w:rsidP="00AA18A3">
            <w:pPr>
              <w:pStyle w:val="Tabletext"/>
            </w:pPr>
            <w:r w:rsidRPr="00280BF9">
              <w:t>186,000 ha</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2C53808" w14:textId="19EF3E3B" w:rsidR="0097743C" w:rsidRPr="00280BF9" w:rsidRDefault="0097743C" w:rsidP="00AA18A3">
            <w:pPr>
              <w:pStyle w:val="Tabletext"/>
            </w:pPr>
            <w:r w:rsidRPr="00280BF9">
              <w:t>Satellite monitoring reports/independent third party audit reports/Fund annual report as reported by Investment Advisor</w:t>
            </w:r>
          </w:p>
        </w:tc>
        <w:tc>
          <w:tcPr>
            <w:tcW w:w="1260" w:type="dxa"/>
            <w:vMerge/>
            <w:tcBorders>
              <w:left w:val="single" w:sz="4" w:space="0" w:color="auto"/>
              <w:right w:val="single" w:sz="4" w:space="0" w:color="auto"/>
            </w:tcBorders>
            <w:shd w:val="clear" w:color="auto" w:fill="auto"/>
          </w:tcPr>
          <w:p w14:paraId="33033996" w14:textId="7DAE522F" w:rsidR="0097743C" w:rsidRPr="00280BF9" w:rsidRDefault="0097743C" w:rsidP="00371C61">
            <w:pPr>
              <w:pStyle w:val="Tabletext"/>
            </w:pPr>
          </w:p>
        </w:tc>
      </w:tr>
      <w:tr w:rsidR="0097743C" w:rsidRPr="00280BF9" w14:paraId="0BE3FAA5" w14:textId="77777777" w:rsidTr="00AF6A48">
        <w:trPr>
          <w:gridAfter w:val="1"/>
          <w:wAfter w:w="23" w:type="dxa"/>
          <w:trHeight w:val="522"/>
        </w:trPr>
        <w:tc>
          <w:tcPr>
            <w:tcW w:w="1980" w:type="dxa"/>
            <w:vMerge/>
            <w:tcBorders>
              <w:left w:val="single" w:sz="4" w:space="0" w:color="auto"/>
              <w:right w:val="single" w:sz="4" w:space="0" w:color="auto"/>
            </w:tcBorders>
            <w:shd w:val="clear" w:color="auto" w:fill="auto"/>
          </w:tcPr>
          <w:p w14:paraId="62091C02" w14:textId="77777777" w:rsidR="0097743C" w:rsidRPr="00280BF9" w:rsidRDefault="0097743C" w:rsidP="00AA18A3">
            <w:pPr>
              <w:pStyle w:val="Tabletext"/>
            </w:pP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128468AC" w14:textId="0A332538" w:rsidR="0097743C" w:rsidRPr="00280BF9" w:rsidRDefault="0097743C" w:rsidP="00AA18A3">
            <w:pPr>
              <w:pStyle w:val="Tabletext"/>
            </w:pPr>
            <w:r w:rsidRPr="00280BF9">
              <w:t>Number of hectares of avoided deforestation in target landscape in Brazil</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CB05031" w14:textId="67278944" w:rsidR="0097743C" w:rsidRPr="00280BF9" w:rsidRDefault="0097743C" w:rsidP="00AA18A3">
            <w:pPr>
              <w:pStyle w:val="Tabletext"/>
            </w:pPr>
            <w:r w:rsidRPr="00280BF9">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13017378" w14:textId="72C9F12F" w:rsidR="0097743C" w:rsidRPr="00280BF9" w:rsidRDefault="0097743C" w:rsidP="00AA18A3">
            <w:pPr>
              <w:pStyle w:val="Tabletext"/>
            </w:pPr>
            <w:r w:rsidRPr="00280BF9">
              <w:t>180,000 ha</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9B78C40" w14:textId="48367F1A" w:rsidR="0097743C" w:rsidRPr="00280BF9" w:rsidRDefault="0097743C" w:rsidP="00AA18A3">
            <w:pPr>
              <w:pStyle w:val="Tabletext"/>
            </w:pPr>
            <w:r w:rsidRPr="00280BF9">
              <w:t>Satellite monitoring reports/independent third party audit reports/Fund annual report as reported by Investment Advisor</w:t>
            </w:r>
          </w:p>
        </w:tc>
        <w:tc>
          <w:tcPr>
            <w:tcW w:w="1260" w:type="dxa"/>
            <w:vMerge/>
            <w:tcBorders>
              <w:left w:val="single" w:sz="4" w:space="0" w:color="auto"/>
              <w:right w:val="single" w:sz="4" w:space="0" w:color="auto"/>
            </w:tcBorders>
            <w:shd w:val="clear" w:color="auto" w:fill="auto"/>
          </w:tcPr>
          <w:p w14:paraId="518C3BEE" w14:textId="2955FB0F" w:rsidR="0097743C" w:rsidRPr="00280BF9" w:rsidRDefault="0097743C" w:rsidP="00371C61">
            <w:pPr>
              <w:pStyle w:val="Tabletext"/>
            </w:pPr>
          </w:p>
        </w:tc>
      </w:tr>
      <w:tr w:rsidR="0097743C" w:rsidRPr="00280BF9" w14:paraId="6F091D26" w14:textId="77777777" w:rsidTr="00AF6A48">
        <w:trPr>
          <w:gridAfter w:val="1"/>
          <w:wAfter w:w="23" w:type="dxa"/>
          <w:trHeight w:val="522"/>
        </w:trPr>
        <w:tc>
          <w:tcPr>
            <w:tcW w:w="1980" w:type="dxa"/>
            <w:vMerge/>
            <w:tcBorders>
              <w:left w:val="single" w:sz="4" w:space="0" w:color="auto"/>
              <w:right w:val="single" w:sz="4" w:space="0" w:color="auto"/>
            </w:tcBorders>
            <w:shd w:val="clear" w:color="auto" w:fill="auto"/>
          </w:tcPr>
          <w:p w14:paraId="1B44F2DE" w14:textId="608D20BA" w:rsidR="0097743C" w:rsidRPr="00280BF9" w:rsidRDefault="0097743C" w:rsidP="00371C61">
            <w:pPr>
              <w:pStyle w:val="Tabletext"/>
            </w:pP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3F25FE99" w14:textId="16E5C80E" w:rsidR="0097743C" w:rsidRPr="00280BF9" w:rsidRDefault="0097743C" w:rsidP="00AA18A3">
            <w:pPr>
              <w:pStyle w:val="Tabletext"/>
            </w:pPr>
            <w:r w:rsidRPr="00280BF9">
              <w:t>Mitigated CO2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FA50628" w14:textId="2CE6E1BA" w:rsidR="0097743C" w:rsidRPr="00280BF9" w:rsidRDefault="0097743C" w:rsidP="00371C61">
            <w:pPr>
              <w:pStyle w:val="Tabletext"/>
            </w:pPr>
            <w:r w:rsidRPr="00280BF9">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68E9E673" w14:textId="53CF2BB8" w:rsidR="0097743C" w:rsidRPr="00280BF9" w:rsidRDefault="00280BF9" w:rsidP="00371C61">
            <w:pPr>
              <w:pStyle w:val="Tabletext"/>
            </w:pPr>
            <w:r w:rsidRPr="00280BF9">
              <w:t>45 million tons</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03AB346" w14:textId="4CC4AC14" w:rsidR="0097743C" w:rsidRPr="00280BF9" w:rsidRDefault="0097743C" w:rsidP="00371C61">
            <w:pPr>
              <w:pStyle w:val="Tabletext"/>
            </w:pPr>
            <w:r w:rsidRPr="00280BF9">
              <w:t>Satellite monitoring reports/independent third party audit reports/Fund annual report as reported by Investment Advisor</w:t>
            </w:r>
          </w:p>
        </w:tc>
        <w:tc>
          <w:tcPr>
            <w:tcW w:w="1260" w:type="dxa"/>
            <w:vMerge/>
            <w:tcBorders>
              <w:left w:val="single" w:sz="4" w:space="0" w:color="auto"/>
              <w:right w:val="single" w:sz="4" w:space="0" w:color="auto"/>
            </w:tcBorders>
            <w:shd w:val="clear" w:color="auto" w:fill="auto"/>
          </w:tcPr>
          <w:p w14:paraId="16FC7B0B" w14:textId="201DB233" w:rsidR="0097743C" w:rsidRPr="00280BF9" w:rsidRDefault="0097743C" w:rsidP="00371C61">
            <w:pPr>
              <w:pStyle w:val="Tabletext"/>
            </w:pPr>
          </w:p>
        </w:tc>
      </w:tr>
      <w:tr w:rsidR="00AA18A3" w:rsidRPr="00280BF9" w14:paraId="094CEF12" w14:textId="77777777" w:rsidTr="004041F3">
        <w:trPr>
          <w:gridAfter w:val="1"/>
          <w:wAfter w:w="23" w:type="dxa"/>
          <w:trHeight w:val="1052"/>
        </w:trPr>
        <w:tc>
          <w:tcPr>
            <w:tcW w:w="1980" w:type="dxa"/>
            <w:vMerge w:val="restart"/>
            <w:tcBorders>
              <w:top w:val="single" w:sz="4" w:space="0" w:color="auto"/>
              <w:left w:val="single" w:sz="4" w:space="0" w:color="auto"/>
              <w:right w:val="single" w:sz="4" w:space="0" w:color="auto"/>
            </w:tcBorders>
            <w:shd w:val="clear" w:color="auto" w:fill="auto"/>
          </w:tcPr>
          <w:p w14:paraId="55F16951" w14:textId="77777777" w:rsidR="00AA18A3" w:rsidRPr="00280BF9" w:rsidRDefault="00AA18A3" w:rsidP="00044D8E">
            <w:pPr>
              <w:spacing w:after="160" w:line="259" w:lineRule="auto"/>
              <w:rPr>
                <w:rFonts w:ascii="Times New Roman" w:hAnsi="Times New Roman"/>
                <w:b/>
                <w:bCs/>
                <w:color w:val="000000"/>
                <w:sz w:val="20"/>
                <w:szCs w:val="20"/>
                <w:lang w:val="en-GB"/>
              </w:rPr>
            </w:pPr>
            <w:r w:rsidRPr="00280BF9">
              <w:rPr>
                <w:b/>
                <w:bCs/>
              </w:rPr>
              <w:t>Project Outcome</w:t>
            </w:r>
            <w:r w:rsidRPr="00280BF9">
              <w:rPr>
                <w:rFonts w:ascii="Times New Roman" w:hAnsi="Times New Roman"/>
                <w:b/>
                <w:bCs/>
                <w:color w:val="000000"/>
                <w:sz w:val="20"/>
                <w:szCs w:val="20"/>
                <w:lang w:val="en-GB"/>
              </w:rPr>
              <w:t xml:space="preserve"> </w:t>
            </w:r>
          </w:p>
          <w:p w14:paraId="57D41806" w14:textId="2D0C8FB2" w:rsidR="00AA18A3" w:rsidRPr="00280BF9" w:rsidRDefault="00AA18A3" w:rsidP="00044D8E">
            <w:pPr>
              <w:spacing w:after="160" w:line="259" w:lineRule="auto"/>
            </w:pPr>
            <w:r w:rsidRPr="00280BF9">
              <w:rPr>
                <w:rFonts w:ascii="Times New Roman" w:hAnsi="Times New Roman"/>
                <w:color w:val="000000"/>
                <w:sz w:val="20"/>
                <w:szCs w:val="20"/>
                <w:lang w:val="en-GB"/>
              </w:rPr>
              <w:t>Private finance leveraged on a 5:1 ratio as a result of the de-risking funding provided by the &amp;Green Fund in the seven landscapes (across 3 countries: Indonesia, Liberia and Brazil</w:t>
            </w: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7EAA7624" w14:textId="5EB8E2A2" w:rsidR="00AA18A3" w:rsidRPr="00280BF9" w:rsidRDefault="00AA18A3" w:rsidP="00371C61">
            <w:pPr>
              <w:pStyle w:val="Tabletext"/>
            </w:pPr>
            <w:r w:rsidRPr="00280BF9">
              <w:t xml:space="preserve">Private Finance </w:t>
            </w:r>
            <w:r w:rsidR="0097743C" w:rsidRPr="00280BF9">
              <w:t>Leveraged from mainstream finance institutions and development finance</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C834CB8" w14:textId="150EA9B5" w:rsidR="00AA18A3" w:rsidRPr="00280BF9" w:rsidRDefault="0097743C" w:rsidP="00371C61">
            <w:pPr>
              <w:pStyle w:val="Tabletext"/>
            </w:pPr>
            <w:r w:rsidRPr="00280BF9">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0423229D" w14:textId="613BC63B" w:rsidR="00AA18A3" w:rsidRPr="00280BF9" w:rsidRDefault="0097743C" w:rsidP="001962E2">
            <w:pPr>
              <w:pStyle w:val="Tabletext"/>
            </w:pPr>
            <w:r w:rsidRPr="00280BF9">
              <w:t xml:space="preserve">US$ </w:t>
            </w:r>
            <w:r w:rsidR="001962E2" w:rsidRPr="00280BF9">
              <w:t>96</w:t>
            </w:r>
            <w:r w:rsidRPr="00280BF9">
              <w:t xml:space="preserve"> Million</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2F38693" w14:textId="1D302699" w:rsidR="00AA18A3" w:rsidRPr="00280BF9" w:rsidRDefault="0097743C" w:rsidP="00371C61">
            <w:pPr>
              <w:pStyle w:val="Tabletext"/>
            </w:pPr>
            <w:r w:rsidRPr="00280BF9">
              <w:t>Fund client production and E&amp;S reports and financial statements/ Fund annual report as reported by Investment Advisor</w:t>
            </w:r>
          </w:p>
        </w:tc>
        <w:tc>
          <w:tcPr>
            <w:tcW w:w="1260" w:type="dxa"/>
            <w:vMerge/>
            <w:tcBorders>
              <w:left w:val="single" w:sz="4" w:space="0" w:color="auto"/>
              <w:right w:val="single" w:sz="4" w:space="0" w:color="auto"/>
            </w:tcBorders>
            <w:shd w:val="clear" w:color="auto" w:fill="auto"/>
          </w:tcPr>
          <w:p w14:paraId="637E8F51" w14:textId="2C7B63B2" w:rsidR="00AA18A3" w:rsidRPr="00280BF9" w:rsidRDefault="00AA18A3" w:rsidP="00371C61">
            <w:pPr>
              <w:pStyle w:val="Tabletext"/>
            </w:pPr>
          </w:p>
        </w:tc>
      </w:tr>
      <w:tr w:rsidR="00AA18A3" w:rsidRPr="00280BF9" w14:paraId="086C1FE0" w14:textId="77777777" w:rsidTr="008C0BB8">
        <w:trPr>
          <w:gridAfter w:val="1"/>
          <w:wAfter w:w="23" w:type="dxa"/>
          <w:trHeight w:val="1223"/>
        </w:trPr>
        <w:tc>
          <w:tcPr>
            <w:tcW w:w="1980" w:type="dxa"/>
            <w:vMerge/>
            <w:tcBorders>
              <w:left w:val="single" w:sz="4" w:space="0" w:color="auto"/>
              <w:right w:val="single" w:sz="4" w:space="0" w:color="auto"/>
            </w:tcBorders>
            <w:shd w:val="clear" w:color="auto" w:fill="auto"/>
          </w:tcPr>
          <w:p w14:paraId="390F2936" w14:textId="77777777" w:rsidR="00AA18A3" w:rsidRPr="00280BF9" w:rsidRDefault="00AA18A3" w:rsidP="00BF30E2">
            <w:pPr>
              <w:spacing w:after="0" w:line="240" w:lineRule="auto"/>
              <w:ind w:left="90"/>
              <w:rPr>
                <w:rFonts w:ascii="Times New Roman" w:eastAsia="Calibri" w:hAnsi="Times New Roman"/>
                <w:sz w:val="20"/>
                <w:szCs w:val="20"/>
              </w:rPr>
            </w:pP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15ACD137" w14:textId="77777777" w:rsidR="00AA18A3" w:rsidRPr="00280BF9" w:rsidRDefault="00AA18A3" w:rsidP="00371C61">
            <w:pPr>
              <w:pStyle w:val="Tabletext"/>
            </w:pPr>
            <w:r w:rsidRPr="00280BF9">
              <w:t>Number of households benefiting directly or indirectly from fund transactions (e.g. jobs, income-generating opportunities) in 7 target landscapes</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E2E13B" w14:textId="77777777" w:rsidR="00AA18A3" w:rsidRPr="00280BF9" w:rsidRDefault="00AA18A3" w:rsidP="00BF30E2">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17E75B65" w14:textId="2DDE34E4" w:rsidR="00AA18A3" w:rsidRPr="00280BF9" w:rsidRDefault="00AA18A3" w:rsidP="00371C61">
            <w:pPr>
              <w:pStyle w:val="Tabletext"/>
            </w:pPr>
            <w:r w:rsidRPr="00280BF9">
              <w:t>15,000 households</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1A9E5B2" w14:textId="77777777" w:rsidR="00AA18A3" w:rsidRPr="00280BF9" w:rsidRDefault="00AA18A3" w:rsidP="00371C61">
            <w:pPr>
              <w:pStyle w:val="Tabletext"/>
            </w:pPr>
            <w:r w:rsidRPr="00280BF9">
              <w:t>Fund client production and E&amp;S reports and financial statements/ Fund annual report as reported by Investment Advisor</w:t>
            </w:r>
          </w:p>
        </w:tc>
        <w:tc>
          <w:tcPr>
            <w:tcW w:w="1260" w:type="dxa"/>
            <w:vMerge/>
            <w:tcBorders>
              <w:left w:val="single" w:sz="4" w:space="0" w:color="auto"/>
              <w:right w:val="single" w:sz="4" w:space="0" w:color="auto"/>
            </w:tcBorders>
            <w:shd w:val="clear" w:color="auto" w:fill="auto"/>
          </w:tcPr>
          <w:p w14:paraId="0DDD9364" w14:textId="77777777" w:rsidR="00AA18A3" w:rsidRPr="00280BF9" w:rsidRDefault="00AA18A3" w:rsidP="00BF30E2">
            <w:pPr>
              <w:spacing w:after="0" w:line="240" w:lineRule="auto"/>
              <w:ind w:left="90"/>
              <w:rPr>
                <w:rFonts w:ascii="Times New Roman" w:eastAsia="Calibri" w:hAnsi="Times New Roman"/>
                <w:sz w:val="20"/>
                <w:szCs w:val="20"/>
              </w:rPr>
            </w:pPr>
          </w:p>
        </w:tc>
      </w:tr>
      <w:tr w:rsidR="00AA18A3" w:rsidRPr="00280BF9" w14:paraId="2F0686EB" w14:textId="77777777" w:rsidTr="008C0BB8">
        <w:trPr>
          <w:gridAfter w:val="1"/>
          <w:wAfter w:w="23" w:type="dxa"/>
          <w:trHeight w:val="796"/>
        </w:trPr>
        <w:tc>
          <w:tcPr>
            <w:tcW w:w="1980" w:type="dxa"/>
            <w:vMerge/>
            <w:tcBorders>
              <w:left w:val="single" w:sz="4" w:space="0" w:color="auto"/>
              <w:right w:val="single" w:sz="4" w:space="0" w:color="auto"/>
            </w:tcBorders>
            <w:shd w:val="clear" w:color="auto" w:fill="auto"/>
          </w:tcPr>
          <w:p w14:paraId="74F8B9DB" w14:textId="77777777" w:rsidR="00AA18A3" w:rsidRPr="00280BF9" w:rsidRDefault="00AA18A3" w:rsidP="00BF30E2">
            <w:pPr>
              <w:spacing w:after="0" w:line="240" w:lineRule="auto"/>
              <w:ind w:left="90"/>
              <w:rPr>
                <w:rFonts w:ascii="Times New Roman" w:eastAsia="Calibri" w:hAnsi="Times New Roman"/>
                <w:sz w:val="20"/>
                <w:szCs w:val="20"/>
              </w:rPr>
            </w:pPr>
          </w:p>
        </w:tc>
        <w:tc>
          <w:tcPr>
            <w:tcW w:w="3127" w:type="dxa"/>
            <w:tcBorders>
              <w:top w:val="single" w:sz="4" w:space="0" w:color="auto"/>
              <w:left w:val="single" w:sz="4" w:space="0" w:color="auto"/>
              <w:bottom w:val="single" w:sz="4" w:space="0" w:color="auto"/>
              <w:right w:val="single" w:sz="4" w:space="0" w:color="auto"/>
            </w:tcBorders>
            <w:shd w:val="clear" w:color="auto" w:fill="auto"/>
          </w:tcPr>
          <w:p w14:paraId="04FEEA38" w14:textId="45B6904C" w:rsidR="00AA18A3" w:rsidRPr="00280BF9" w:rsidRDefault="00AA18A3" w:rsidP="00371C61">
            <w:pPr>
              <w:pStyle w:val="Tabletext"/>
            </w:pPr>
            <w:r w:rsidRPr="00280BF9">
              <w:rPr>
                <w:shd w:val="clear" w:color="auto" w:fill="FFFFFF"/>
              </w:rPr>
              <w:t xml:space="preserve">Share of women and men as direct beneficiaries of GEF funding through &amp;Green Fund </w:t>
            </w:r>
            <w:r w:rsidRPr="00280BF9">
              <w:t>in 7 target landscapes</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26C09EF" w14:textId="71ED4E49" w:rsidR="00AA18A3" w:rsidRPr="00280BF9" w:rsidRDefault="00AA18A3" w:rsidP="00BF30E2">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0</w:t>
            </w:r>
          </w:p>
        </w:tc>
        <w:tc>
          <w:tcPr>
            <w:tcW w:w="2257" w:type="dxa"/>
            <w:tcBorders>
              <w:top w:val="single" w:sz="4" w:space="0" w:color="auto"/>
              <w:left w:val="single" w:sz="4" w:space="0" w:color="auto"/>
              <w:bottom w:val="single" w:sz="4" w:space="0" w:color="auto"/>
              <w:right w:val="single" w:sz="4" w:space="0" w:color="auto"/>
            </w:tcBorders>
            <w:shd w:val="clear" w:color="auto" w:fill="auto"/>
          </w:tcPr>
          <w:p w14:paraId="45C5FA61" w14:textId="3A238CC3" w:rsidR="00AA18A3" w:rsidRPr="00280BF9" w:rsidRDefault="00AA18A3" w:rsidP="00371C61">
            <w:pPr>
              <w:pStyle w:val="Tabletext"/>
            </w:pPr>
            <w:r w:rsidRPr="00280BF9">
              <w:t>50%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7232BEF" w14:textId="505164CE" w:rsidR="00AA18A3" w:rsidRPr="00280BF9" w:rsidRDefault="00AA18A3" w:rsidP="00371C61">
            <w:pPr>
              <w:pStyle w:val="Tabletext"/>
            </w:pPr>
            <w:r w:rsidRPr="00280BF9">
              <w:t>Fund client production and E&amp;S reports and financial statements/ Fund annual report as reported by Investment Advisor</w:t>
            </w:r>
          </w:p>
        </w:tc>
        <w:tc>
          <w:tcPr>
            <w:tcW w:w="1260" w:type="dxa"/>
            <w:vMerge/>
            <w:tcBorders>
              <w:left w:val="single" w:sz="4" w:space="0" w:color="auto"/>
              <w:right w:val="single" w:sz="4" w:space="0" w:color="auto"/>
            </w:tcBorders>
            <w:shd w:val="clear" w:color="auto" w:fill="auto"/>
          </w:tcPr>
          <w:p w14:paraId="7B5961B6" w14:textId="77777777" w:rsidR="00AA18A3" w:rsidRPr="00280BF9" w:rsidRDefault="00AA18A3" w:rsidP="00BF30E2">
            <w:pPr>
              <w:spacing w:after="0" w:line="240" w:lineRule="auto"/>
              <w:ind w:left="90"/>
              <w:rPr>
                <w:rFonts w:ascii="Times New Roman" w:eastAsia="Calibri" w:hAnsi="Times New Roman"/>
                <w:sz w:val="20"/>
                <w:szCs w:val="20"/>
              </w:rPr>
            </w:pPr>
          </w:p>
        </w:tc>
      </w:tr>
      <w:tr w:rsidR="005B55C8" w:rsidRPr="00B672CA" w14:paraId="0A3B6CC3" w14:textId="77777777" w:rsidTr="008C0BB8">
        <w:trPr>
          <w:trHeight w:val="796"/>
        </w:trPr>
        <w:tc>
          <w:tcPr>
            <w:tcW w:w="13129" w:type="dxa"/>
            <w:gridSpan w:val="7"/>
            <w:tcBorders>
              <w:left w:val="single" w:sz="4" w:space="0" w:color="auto"/>
              <w:bottom w:val="single" w:sz="4" w:space="0" w:color="auto"/>
              <w:right w:val="single" w:sz="4" w:space="0" w:color="auto"/>
            </w:tcBorders>
            <w:shd w:val="clear" w:color="auto" w:fill="auto"/>
          </w:tcPr>
          <w:p w14:paraId="18DAB33E" w14:textId="77777777" w:rsidR="005B55C8" w:rsidRPr="00280BF9" w:rsidRDefault="005B55C8" w:rsidP="00BF30E2">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Outputs</w:t>
            </w:r>
          </w:p>
          <w:p w14:paraId="150F0337" w14:textId="35D180A2" w:rsidR="005B55C8" w:rsidRPr="00280BF9" w:rsidRDefault="005B55C8" w:rsidP="0097743C">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1.1 Investment pipeline developed to create proof-of-concept on solutions contributing to production, protection, and inclusion targets established under NICFI-IDH Partnership Program</w:t>
            </w:r>
          </w:p>
          <w:p w14:paraId="7BFB0C33" w14:textId="282AFFF8" w:rsidR="005B55C8" w:rsidRPr="00280BF9" w:rsidRDefault="005B55C8" w:rsidP="005B55C8">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 xml:space="preserve">1.2 US$ 24 million (of which, $2 million are from GEF) invested through the </w:t>
            </w:r>
            <w:r w:rsidR="00005AAD" w:rsidRPr="00280BF9">
              <w:rPr>
                <w:rFonts w:ascii="Times New Roman" w:eastAsia="Calibri" w:hAnsi="Times New Roman"/>
                <w:sz w:val="20"/>
                <w:szCs w:val="20"/>
              </w:rPr>
              <w:t>&amp;Green Fund</w:t>
            </w:r>
            <w:r w:rsidRPr="00280BF9">
              <w:rPr>
                <w:rFonts w:ascii="Times New Roman" w:eastAsia="Calibri" w:hAnsi="Times New Roman"/>
                <w:sz w:val="20"/>
                <w:szCs w:val="20"/>
              </w:rPr>
              <w:t xml:space="preserve"> to de-risk commercial financing of agricultural production in exchange for a landscape protection plan (LPP) outlining on- and off concession forest and </w:t>
            </w:r>
            <w:r w:rsidR="0097743C" w:rsidRPr="00280BF9">
              <w:rPr>
                <w:rFonts w:ascii="Times New Roman" w:eastAsia="Calibri" w:hAnsi="Times New Roman"/>
                <w:sz w:val="20"/>
                <w:szCs w:val="20"/>
              </w:rPr>
              <w:t>peat protection or restoration</w:t>
            </w:r>
          </w:p>
          <w:p w14:paraId="690FFBB5" w14:textId="536405E8" w:rsidR="005B55C8" w:rsidRPr="00280BF9" w:rsidRDefault="0097743C" w:rsidP="0097743C">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1.3 Negotiations with mainstream finance institutions and development finance institutions completed to leverage non-fund capital for public good outcomes in terms of enhanced forest protection and livelihoods of local communities</w:t>
            </w:r>
          </w:p>
          <w:p w14:paraId="1EF07814" w14:textId="360724AD" w:rsidR="005B55C8" w:rsidRPr="00B672CA" w:rsidRDefault="005B55C8" w:rsidP="005B55C8">
            <w:pPr>
              <w:spacing w:after="0" w:line="240" w:lineRule="auto"/>
              <w:ind w:left="90"/>
              <w:rPr>
                <w:rFonts w:ascii="Times New Roman" w:eastAsia="Calibri" w:hAnsi="Times New Roman"/>
                <w:sz w:val="20"/>
                <w:szCs w:val="20"/>
              </w:rPr>
            </w:pPr>
            <w:r w:rsidRPr="00280BF9">
              <w:rPr>
                <w:rFonts w:ascii="Times New Roman" w:eastAsia="Calibri" w:hAnsi="Times New Roman"/>
                <w:sz w:val="20"/>
                <w:szCs w:val="20"/>
              </w:rPr>
              <w:t>1.4 A system for monitoring the impact performance is created (satellite imagery, field inspections, interviews, and reports) to verify and track conservat</w:t>
            </w:r>
            <w:r w:rsidR="0097743C" w:rsidRPr="00280BF9">
              <w:rPr>
                <w:rFonts w:ascii="Times New Roman" w:eastAsia="Calibri" w:hAnsi="Times New Roman"/>
                <w:sz w:val="20"/>
                <w:szCs w:val="20"/>
              </w:rPr>
              <w:t>ion performance</w:t>
            </w:r>
          </w:p>
        </w:tc>
      </w:tr>
    </w:tbl>
    <w:p w14:paraId="0A97533C" w14:textId="77777777" w:rsidR="00D25D40" w:rsidRPr="00B672CA" w:rsidRDefault="00D25D40" w:rsidP="00D25D40">
      <w:pPr>
        <w:spacing w:after="0" w:line="240" w:lineRule="auto"/>
        <w:rPr>
          <w:rFonts w:ascii="Times New Roman" w:eastAsia="Times New Roman" w:hAnsi="Times New Roman"/>
          <w:color w:val="000000"/>
        </w:rPr>
      </w:pPr>
    </w:p>
    <w:p w14:paraId="6A60D57F" w14:textId="77777777" w:rsidR="00D25D40" w:rsidRPr="00B672CA" w:rsidRDefault="00D25D40" w:rsidP="00D25D40">
      <w:pPr>
        <w:spacing w:after="0" w:line="240" w:lineRule="auto"/>
        <w:rPr>
          <w:rFonts w:ascii="Times New Roman" w:eastAsia="Times New Roman" w:hAnsi="Times New Roman"/>
          <w:color w:val="000000"/>
        </w:rPr>
        <w:sectPr w:rsidR="00D25D40" w:rsidRPr="00B672CA" w:rsidSect="00696322">
          <w:pgSz w:w="15840" w:h="12240" w:orient="landscape"/>
          <w:pgMar w:top="720" w:right="720" w:bottom="907" w:left="1440" w:header="720" w:footer="720" w:gutter="0"/>
          <w:cols w:space="720"/>
          <w:docGrid w:linePitch="360"/>
        </w:sectPr>
      </w:pPr>
    </w:p>
    <w:p w14:paraId="1FEB6BE4" w14:textId="77777777" w:rsidR="00D25D40" w:rsidRPr="00B672CA" w:rsidRDefault="00D25D40" w:rsidP="003339FD">
      <w:pPr>
        <w:pStyle w:val="Annexheading"/>
      </w:pPr>
      <w:bookmarkStart w:id="23" w:name="_Toc483303066"/>
      <w:r w:rsidRPr="00B672CA">
        <w:t>Annex B:</w:t>
      </w:r>
      <w:r w:rsidRPr="00B672CA">
        <w:tab/>
        <w:t>Responses to Project Reviews</w:t>
      </w:r>
      <w:bookmarkEnd w:id="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4686"/>
        <w:gridCol w:w="2244"/>
      </w:tblGrid>
      <w:tr w:rsidR="00D25D40" w:rsidRPr="00B672CA" w14:paraId="46A3EA45" w14:textId="77777777" w:rsidTr="00EC7250">
        <w:trPr>
          <w:tblHeader/>
        </w:trPr>
        <w:tc>
          <w:tcPr>
            <w:tcW w:w="3528" w:type="dxa"/>
            <w:shd w:val="clear" w:color="auto" w:fill="auto"/>
          </w:tcPr>
          <w:p w14:paraId="2596BBE2" w14:textId="77777777" w:rsidR="00D25D40" w:rsidRPr="00B672CA" w:rsidRDefault="00D25D40" w:rsidP="00D46460">
            <w:pPr>
              <w:pStyle w:val="Tableheading"/>
            </w:pPr>
            <w:r w:rsidRPr="00B672CA">
              <w:t>Comments from GEF Secretariat</w:t>
            </w:r>
          </w:p>
        </w:tc>
        <w:tc>
          <w:tcPr>
            <w:tcW w:w="4686" w:type="dxa"/>
            <w:shd w:val="clear" w:color="auto" w:fill="auto"/>
          </w:tcPr>
          <w:p w14:paraId="22B28D78" w14:textId="77777777" w:rsidR="00D25D40" w:rsidRPr="00B672CA" w:rsidRDefault="00D25D40" w:rsidP="00D46460">
            <w:pPr>
              <w:pStyle w:val="Tableheading"/>
            </w:pPr>
            <w:r w:rsidRPr="00B672CA">
              <w:t>Response</w:t>
            </w:r>
          </w:p>
        </w:tc>
        <w:tc>
          <w:tcPr>
            <w:tcW w:w="2244" w:type="dxa"/>
            <w:shd w:val="clear" w:color="auto" w:fill="auto"/>
          </w:tcPr>
          <w:p w14:paraId="36E9E932" w14:textId="77777777" w:rsidR="00D25D40" w:rsidRPr="00B672CA" w:rsidRDefault="00D25D40" w:rsidP="00D46460">
            <w:pPr>
              <w:pStyle w:val="Tableheading"/>
            </w:pPr>
            <w:r w:rsidRPr="00B672CA">
              <w:t>Reference in document</w:t>
            </w:r>
          </w:p>
        </w:tc>
      </w:tr>
      <w:tr w:rsidR="00D25D40" w:rsidRPr="00B672CA" w14:paraId="5796D819" w14:textId="77777777" w:rsidTr="00696322">
        <w:tc>
          <w:tcPr>
            <w:tcW w:w="3528" w:type="dxa"/>
            <w:shd w:val="clear" w:color="auto" w:fill="auto"/>
          </w:tcPr>
          <w:p w14:paraId="195F415F" w14:textId="77777777" w:rsidR="00D25D40" w:rsidRPr="00B672CA" w:rsidRDefault="00D25D40" w:rsidP="00371C61">
            <w:pPr>
              <w:pStyle w:val="Tabletext"/>
            </w:pPr>
            <w:r w:rsidRPr="00B672CA">
              <w:t>(Received January 13, 2017)</w:t>
            </w:r>
          </w:p>
          <w:p w14:paraId="765B86FD" w14:textId="77777777" w:rsidR="00D25D40" w:rsidRPr="00B672CA" w:rsidRDefault="00D25D40" w:rsidP="00371C61">
            <w:pPr>
              <w:pStyle w:val="Tabletext"/>
              <w:rPr>
                <w:rFonts w:eastAsia="Times New Roman"/>
              </w:rPr>
            </w:pPr>
            <w:r w:rsidRPr="00B672CA">
              <w:t>At CEO approval stage, we will need</w:t>
            </w:r>
            <w:r w:rsidRPr="00B672CA">
              <w:rPr>
                <w:rFonts w:eastAsia="Times New Roman"/>
              </w:rPr>
              <w:t xml:space="preserve"> </w:t>
            </w:r>
            <w:r w:rsidRPr="00B672CA">
              <w:t>to additional details on the proposed</w:t>
            </w:r>
            <w:r w:rsidRPr="00B672CA">
              <w:rPr>
                <w:rFonts w:eastAsia="Times New Roman"/>
              </w:rPr>
              <w:t xml:space="preserve"> </w:t>
            </w:r>
            <w:r w:rsidRPr="00B672CA">
              <w:t>st</w:t>
            </w:r>
            <w:r w:rsidRPr="00B672CA">
              <w:rPr>
                <w:rFonts w:eastAsia="Times New Roman"/>
              </w:rPr>
              <w:t xml:space="preserve">ructures and optional financial </w:t>
            </w:r>
            <w:r w:rsidRPr="00B672CA">
              <w:t>mechanisms. We will need an explicit</w:t>
            </w:r>
            <w:r w:rsidRPr="00B672CA">
              <w:rPr>
                <w:rFonts w:eastAsia="Times New Roman"/>
              </w:rPr>
              <w:t xml:space="preserve"> </w:t>
            </w:r>
            <w:r w:rsidRPr="00B672CA">
              <w:t>statement if the fund will be taking</w:t>
            </w:r>
            <w:r w:rsidRPr="00B672CA">
              <w:rPr>
                <w:rFonts w:eastAsia="Times New Roman"/>
              </w:rPr>
              <w:t xml:space="preserve"> </w:t>
            </w:r>
            <w:r w:rsidRPr="00B672CA">
              <w:t>foreign exchange risk, which is</w:t>
            </w:r>
            <w:r w:rsidRPr="00B672CA">
              <w:rPr>
                <w:rFonts w:eastAsia="Times New Roman"/>
              </w:rPr>
              <w:t xml:space="preserve"> </w:t>
            </w:r>
            <w:r w:rsidRPr="00B672CA">
              <w:t>acce</w:t>
            </w:r>
            <w:r w:rsidRPr="00B672CA">
              <w:rPr>
                <w:rFonts w:eastAsia="Times New Roman"/>
              </w:rPr>
              <w:t xml:space="preserve">ptable, but must be declared in </w:t>
            </w:r>
            <w:r w:rsidRPr="00B672CA">
              <w:t>advance of approval and fully</w:t>
            </w:r>
            <w:r w:rsidRPr="00B672CA">
              <w:rPr>
                <w:rFonts w:eastAsia="Times New Roman"/>
              </w:rPr>
              <w:t xml:space="preserve"> </w:t>
            </w:r>
            <w:r w:rsidRPr="00B672CA">
              <w:t>described. Further, GEF will need to</w:t>
            </w:r>
            <w:r w:rsidRPr="00B672CA">
              <w:rPr>
                <w:rFonts w:eastAsia="Times New Roman"/>
              </w:rPr>
              <w:t xml:space="preserve"> </w:t>
            </w:r>
            <w:r w:rsidRPr="00B672CA">
              <w:t>see a reflow schedule that identifies</w:t>
            </w:r>
            <w:r w:rsidRPr="00B672CA">
              <w:rPr>
                <w:rFonts w:eastAsia="Times New Roman"/>
              </w:rPr>
              <w:t xml:space="preserve"> </w:t>
            </w:r>
            <w:r w:rsidRPr="00B672CA">
              <w:t>the full potential for return not</w:t>
            </w:r>
            <w:r w:rsidRPr="00B672CA">
              <w:rPr>
                <w:rFonts w:eastAsia="Times New Roman"/>
              </w:rPr>
              <w:t xml:space="preserve"> </w:t>
            </w:r>
            <w:r w:rsidRPr="00B672CA">
              <w:t>adjusted for risk. That is, concessional</w:t>
            </w:r>
            <w:r w:rsidRPr="00B672CA">
              <w:rPr>
                <w:rFonts w:eastAsia="Times New Roman"/>
              </w:rPr>
              <w:t xml:space="preserve"> </w:t>
            </w:r>
            <w:r w:rsidRPr="00B672CA">
              <w:t>finance assumes a below-market rate</w:t>
            </w:r>
            <w:r w:rsidRPr="00B672CA">
              <w:rPr>
                <w:rFonts w:eastAsia="Times New Roman"/>
              </w:rPr>
              <w:t xml:space="preserve"> </w:t>
            </w:r>
            <w:r w:rsidRPr="00B672CA">
              <w:t>of return and significant risk,</w:t>
            </w:r>
            <w:r w:rsidRPr="00B672CA">
              <w:rPr>
                <w:rFonts w:eastAsia="Times New Roman"/>
              </w:rPr>
              <w:t xml:space="preserve"> </w:t>
            </w:r>
            <w:r w:rsidRPr="00B672CA">
              <w:t>however, the GEF investment must</w:t>
            </w:r>
            <w:r w:rsidRPr="00B672CA">
              <w:rPr>
                <w:rFonts w:eastAsia="Times New Roman"/>
              </w:rPr>
              <w:t xml:space="preserve"> </w:t>
            </w:r>
            <w:r w:rsidRPr="00B672CA">
              <w:t>have a potential for reflow if all</w:t>
            </w:r>
            <w:r w:rsidRPr="00B672CA">
              <w:rPr>
                <w:rFonts w:eastAsia="Times New Roman"/>
              </w:rPr>
              <w:t xml:space="preserve"> </w:t>
            </w:r>
            <w:r w:rsidRPr="00B672CA">
              <w:t>investments are successful. Naturally,</w:t>
            </w:r>
            <w:r w:rsidRPr="00B672CA">
              <w:rPr>
                <w:rFonts w:eastAsia="Times New Roman"/>
              </w:rPr>
              <w:t xml:space="preserve"> </w:t>
            </w:r>
            <w:r w:rsidRPr="00B672CA">
              <w:t>reflows may be lower after defaults</w:t>
            </w:r>
            <w:r w:rsidRPr="00B672CA">
              <w:rPr>
                <w:rFonts w:eastAsia="Times New Roman"/>
              </w:rPr>
              <w:t xml:space="preserve"> </w:t>
            </w:r>
            <w:r w:rsidRPr="00B672CA">
              <w:t>and losses are taken into account. As</w:t>
            </w:r>
            <w:r w:rsidRPr="00B672CA">
              <w:rPr>
                <w:rFonts w:eastAsia="Times New Roman"/>
              </w:rPr>
              <w:t xml:space="preserve"> </w:t>
            </w:r>
            <w:r w:rsidRPr="00B672CA">
              <w:t>the proposed arrangement already</w:t>
            </w:r>
            <w:r w:rsidRPr="00B672CA">
              <w:rPr>
                <w:rFonts w:eastAsia="Times New Roman"/>
              </w:rPr>
              <w:t xml:space="preserve"> </w:t>
            </w:r>
            <w:r w:rsidRPr="00B672CA">
              <w:t>assumes management will achieve</w:t>
            </w:r>
            <w:r w:rsidRPr="00B672CA">
              <w:rPr>
                <w:rFonts w:eastAsia="Times New Roman"/>
              </w:rPr>
              <w:t xml:space="preserve"> </w:t>
            </w:r>
            <w:r w:rsidRPr="00B672CA">
              <w:t>"break-even" after losses, it should be</w:t>
            </w:r>
            <w:r w:rsidRPr="00B672CA">
              <w:rPr>
                <w:rFonts w:eastAsia="Times New Roman"/>
              </w:rPr>
              <w:t xml:space="preserve"> </w:t>
            </w:r>
            <w:r w:rsidRPr="00B672CA">
              <w:t>a simple matter to estimate returns</w:t>
            </w:r>
            <w:r w:rsidRPr="00B672CA">
              <w:rPr>
                <w:rFonts w:eastAsia="Times New Roman"/>
              </w:rPr>
              <w:t xml:space="preserve"> </w:t>
            </w:r>
            <w:r w:rsidRPr="00B672CA">
              <w:t>before losses and present to the GEF.</w:t>
            </w:r>
            <w:r w:rsidRPr="00B672CA">
              <w:rPr>
                <w:rFonts w:eastAsia="Times New Roman"/>
              </w:rPr>
              <w:t xml:space="preserve"> </w:t>
            </w:r>
            <w:r w:rsidRPr="00B672CA">
              <w:t>Furthermore, investment from</w:t>
            </w:r>
            <w:r w:rsidRPr="00B672CA">
              <w:rPr>
                <w:rFonts w:eastAsia="Times New Roman"/>
              </w:rPr>
              <w:t xml:space="preserve"> </w:t>
            </w:r>
            <w:r w:rsidRPr="00B672CA">
              <w:t>beneficiaries can be counted as cofinancing,</w:t>
            </w:r>
            <w:r w:rsidRPr="00B672CA">
              <w:rPr>
                <w:rFonts w:eastAsia="Times New Roman"/>
              </w:rPr>
              <w:t xml:space="preserve"> </w:t>
            </w:r>
            <w:r w:rsidRPr="00B672CA">
              <w:t>which could be adjusted</w:t>
            </w:r>
            <w:r w:rsidRPr="00B672CA">
              <w:rPr>
                <w:rFonts w:eastAsia="Times New Roman"/>
              </w:rPr>
              <w:t xml:space="preserve"> </w:t>
            </w:r>
            <w:r w:rsidRPr="00B672CA">
              <w:t>and submitted at the time of CEO</w:t>
            </w:r>
            <w:r w:rsidRPr="00B672CA">
              <w:rPr>
                <w:rFonts w:eastAsia="Times New Roman"/>
              </w:rPr>
              <w:t xml:space="preserve"> </w:t>
            </w:r>
            <w:r w:rsidRPr="00B672CA">
              <w:t>endorsement.</w:t>
            </w:r>
          </w:p>
        </w:tc>
        <w:tc>
          <w:tcPr>
            <w:tcW w:w="4686" w:type="dxa"/>
            <w:shd w:val="clear" w:color="auto" w:fill="auto"/>
          </w:tcPr>
          <w:p w14:paraId="3056A1EE" w14:textId="65616A5C" w:rsidR="00D25D40" w:rsidRPr="00B672CA" w:rsidRDefault="00D25D40" w:rsidP="00371C61">
            <w:pPr>
              <w:pStyle w:val="Tabletext"/>
            </w:pPr>
            <w:r w:rsidRPr="00B672CA">
              <w:t>Details</w:t>
            </w:r>
            <w:r w:rsidR="00EC7250" w:rsidRPr="00B672CA">
              <w:t xml:space="preserve"> requested</w:t>
            </w:r>
            <w:r w:rsidRPr="00B672CA">
              <w:t xml:space="preserve"> on the proposed structures and optional financial mechanisms:</w:t>
            </w:r>
          </w:p>
          <w:p w14:paraId="068EF16B" w14:textId="77777777" w:rsidR="00D25D40" w:rsidRPr="00B672CA" w:rsidRDefault="00D25D40" w:rsidP="00371C61">
            <w:pPr>
              <w:pStyle w:val="Tabletext"/>
            </w:pPr>
          </w:p>
          <w:p w14:paraId="34D05410" w14:textId="4756107D" w:rsidR="00D25D40" w:rsidRPr="00B672CA" w:rsidRDefault="00EC7250" w:rsidP="00371C61">
            <w:pPr>
              <w:pStyle w:val="Tabletext"/>
            </w:pPr>
            <w:r w:rsidRPr="00B672CA">
              <w:t xml:space="preserve">1) </w:t>
            </w:r>
            <w:r w:rsidR="00D25D40" w:rsidRPr="00B672CA">
              <w:t xml:space="preserve">Foreign exchange risk: </w:t>
            </w:r>
            <w:r w:rsidR="00A431FF" w:rsidRPr="00B672CA">
              <w:t xml:space="preserve">The </w:t>
            </w:r>
            <w:r w:rsidR="00005AAD" w:rsidRPr="00B672CA">
              <w:t>&amp;Green Fund</w:t>
            </w:r>
            <w:r w:rsidR="00A431FF" w:rsidRPr="00B672CA">
              <w:t xml:space="preserve"> will transact mainly in USD. However it is able to take up to 30% of its portfolio in local currency (LCY) exposure for projects in which </w:t>
            </w:r>
            <w:r w:rsidRPr="00B672CA">
              <w:t>small scale</w:t>
            </w:r>
            <w:r w:rsidR="00A431FF" w:rsidRPr="00B672CA">
              <w:t xml:space="preserve"> producers (e.g. smallholder farmers) are the direct beneficiaries of the project. Where possible and cost-effective, the</w:t>
            </w:r>
            <w:r w:rsidR="007F5F4C" w:rsidRPr="00B672CA">
              <w:t xml:space="preserve"> fund</w:t>
            </w:r>
            <w:r w:rsidR="00A431FF" w:rsidRPr="00B672CA">
              <w:t xml:space="preserve"> will aim to hedge the LCY risk it is exposed to through its projects</w:t>
            </w:r>
            <w:r w:rsidR="00257CB4" w:rsidRPr="00B672CA">
              <w:t>.</w:t>
            </w:r>
          </w:p>
          <w:p w14:paraId="3735BA83" w14:textId="77777777" w:rsidR="00D25D40" w:rsidRPr="00B672CA" w:rsidRDefault="00D25D40" w:rsidP="00371C61">
            <w:pPr>
              <w:pStyle w:val="Tabletext"/>
            </w:pPr>
          </w:p>
          <w:p w14:paraId="2340FF1F" w14:textId="565869EF" w:rsidR="00D25D40" w:rsidRPr="00B672CA" w:rsidRDefault="00EC7250" w:rsidP="00371C61">
            <w:pPr>
              <w:pStyle w:val="Tabletext"/>
            </w:pPr>
            <w:r w:rsidRPr="00B672CA">
              <w:t xml:space="preserve">2) </w:t>
            </w:r>
            <w:r w:rsidR="00D25D40" w:rsidRPr="00B672CA">
              <w:t>Reflow schedule that identifies the full potential for return not adjusted for risk:</w:t>
            </w:r>
            <w:r w:rsidR="00A431FF" w:rsidRPr="00B672CA">
              <w:t xml:space="preserve"> The</w:t>
            </w:r>
            <w:r w:rsidR="007F5F4C" w:rsidRPr="00B672CA">
              <w:t xml:space="preserve"> fund</w:t>
            </w:r>
            <w:r w:rsidR="00A431FF" w:rsidRPr="00B672CA">
              <w:t>’s objective is for its Net Asset Value (NAV) to be greater than or equal to total capital deployed as a continuous target during the time the</w:t>
            </w:r>
            <w:r w:rsidR="007F5F4C" w:rsidRPr="00B672CA">
              <w:t xml:space="preserve"> fund</w:t>
            </w:r>
            <w:r w:rsidR="00A431FF" w:rsidRPr="00B672CA">
              <w:t xml:space="preserve"> is operational.</w:t>
            </w:r>
            <w:r w:rsidR="00D25D40" w:rsidRPr="00B672CA">
              <w:t xml:space="preserve"> </w:t>
            </w:r>
            <w:r w:rsidR="00A431FF" w:rsidRPr="00B672CA">
              <w:t>The</w:t>
            </w:r>
            <w:r w:rsidR="007F5F4C" w:rsidRPr="00B672CA">
              <w:t xml:space="preserve"> fund</w:t>
            </w:r>
            <w:r w:rsidR="00A431FF" w:rsidRPr="00B672CA">
              <w:t xml:space="preserve"> will price its credit based primarily on credit risk and costs, with the overall objective of maintaining the</w:t>
            </w:r>
            <w:r w:rsidR="007F5F4C" w:rsidRPr="00B672CA">
              <w:t xml:space="preserve"> fund</w:t>
            </w:r>
            <w:r w:rsidR="00A431FF" w:rsidRPr="00B672CA">
              <w:t>’s capital base in real terms over the long term (i.e., its returns on average cover its costs and losses). The</w:t>
            </w:r>
            <w:r w:rsidR="007F5F4C" w:rsidRPr="00B672CA">
              <w:t xml:space="preserve"> fund</w:t>
            </w:r>
            <w:r w:rsidR="00A431FF" w:rsidRPr="00B672CA">
              <w:t xml:space="preserve"> will need to ensure sufficient levels of cost recovery to cover the cost of the capital the</w:t>
            </w:r>
            <w:r w:rsidR="007F5F4C" w:rsidRPr="00B672CA">
              <w:t xml:space="preserve"> fund</w:t>
            </w:r>
            <w:r w:rsidR="00A431FF" w:rsidRPr="00B672CA">
              <w:t xml:space="preserve"> has raised, direct operating expenses as well as transaction costs. Transaction costs include all the costs incurred in developing, contracting, disbursing, monitoring, evaluating, and exiting a particular transaction. In projects in which the</w:t>
            </w:r>
            <w:r w:rsidR="007F5F4C" w:rsidRPr="00B672CA">
              <w:t xml:space="preserve"> fund</w:t>
            </w:r>
            <w:r w:rsidR="00A431FF" w:rsidRPr="00B672CA">
              <w:t xml:space="preserve"> takes a subordinate position to other lenders, the fund may seek to have this increased risk compensated for through the</w:t>
            </w:r>
            <w:r w:rsidR="007F5F4C" w:rsidRPr="00B672CA">
              <w:t xml:space="preserve"> fund</w:t>
            </w:r>
            <w:r w:rsidR="00A431FF" w:rsidRPr="00B672CA">
              <w:t>’s participation in the financial returns generated by the project. The environmental and social criteria of the</w:t>
            </w:r>
            <w:r w:rsidR="007F5F4C" w:rsidRPr="00B672CA">
              <w:t xml:space="preserve"> fund</w:t>
            </w:r>
            <w:r w:rsidR="00A431FF" w:rsidRPr="00B672CA">
              <w:t xml:space="preserve"> may result in an increased cost for the borrower and potentially a higher financial risk for partner financial institutions, at least in the short term. The</w:t>
            </w:r>
            <w:r w:rsidR="007F5F4C" w:rsidRPr="00B672CA">
              <w:t xml:space="preserve"> fund</w:t>
            </w:r>
            <w:r w:rsidR="00A431FF" w:rsidRPr="00B672CA">
              <w:t xml:space="preserve"> is able to take higher risk (subordinated) positions and offer financing at concessional rates in order to compensate for this.</w:t>
            </w:r>
          </w:p>
          <w:p w14:paraId="0F87FF56" w14:textId="77777777" w:rsidR="00D25D40" w:rsidRPr="00B672CA" w:rsidRDefault="00D25D40" w:rsidP="00371C61">
            <w:pPr>
              <w:pStyle w:val="Tabletext"/>
            </w:pPr>
          </w:p>
          <w:p w14:paraId="47543BC6" w14:textId="1D783900" w:rsidR="00D25D40" w:rsidRPr="00B672CA" w:rsidRDefault="00EC7250" w:rsidP="00371C61">
            <w:pPr>
              <w:pStyle w:val="Tabletext"/>
            </w:pPr>
            <w:r w:rsidRPr="00B672CA">
              <w:t xml:space="preserve">3) </w:t>
            </w:r>
            <w:r w:rsidR="00D25D40" w:rsidRPr="00B672CA">
              <w:t>Investment from beneficiaries can be counted as cofinancing:</w:t>
            </w:r>
            <w:r w:rsidR="00A431FF" w:rsidRPr="00B672CA">
              <w:t xml:space="preserve"> The</w:t>
            </w:r>
            <w:r w:rsidR="007F5F4C" w:rsidRPr="00B672CA">
              <w:t xml:space="preserve"> fund</w:t>
            </w:r>
            <w:r w:rsidR="00A431FF" w:rsidRPr="00B672CA">
              <w:t xml:space="preserve"> will not take more than 25% of a project's total risk (unless in a least developed country where it can take up to 30% of the risk).</w:t>
            </w:r>
          </w:p>
          <w:p w14:paraId="4BAEEEDD" w14:textId="77777777" w:rsidR="00A431FF" w:rsidRPr="00B672CA" w:rsidRDefault="00A431FF" w:rsidP="00371C61">
            <w:pPr>
              <w:pStyle w:val="Tabletext"/>
            </w:pPr>
          </w:p>
          <w:p w14:paraId="110E78D8" w14:textId="40854270" w:rsidR="00A431FF" w:rsidRPr="00B672CA" w:rsidRDefault="00A431FF" w:rsidP="00371C61">
            <w:pPr>
              <w:pStyle w:val="Tabletext"/>
            </w:pPr>
            <w:r w:rsidRPr="00B672CA">
              <w:t>The</w:t>
            </w:r>
            <w:r w:rsidR="007F5F4C" w:rsidRPr="00B672CA">
              <w:t xml:space="preserve"> fund</w:t>
            </w:r>
            <w:r w:rsidRPr="00B672CA">
              <w:t xml:space="preserve"> will provide financing directly to landowners or managers or indirectly via an intermediary or intermediaries. Direct project finance includes the financing of producer companies and crop production on their own concession and/or smallholder controlled land, in </w:t>
            </w:r>
            <w:r w:rsidR="00EC7250" w:rsidRPr="00B672CA">
              <w:t>conjunction</w:t>
            </w:r>
            <w:r w:rsidRPr="00B672CA">
              <w:t xml:space="preserve"> with tropical forest and peat landscape conservation on and/or off their concession</w:t>
            </w:r>
          </w:p>
          <w:p w14:paraId="0585E975" w14:textId="77777777" w:rsidR="00A431FF" w:rsidRPr="00B672CA" w:rsidRDefault="00A431FF" w:rsidP="00371C61">
            <w:pPr>
              <w:pStyle w:val="Tabletext"/>
            </w:pPr>
          </w:p>
          <w:p w14:paraId="6F5B4D1F" w14:textId="605D0B1F" w:rsidR="00A431FF" w:rsidRPr="00B672CA" w:rsidRDefault="00A431FF" w:rsidP="00371C61">
            <w:pPr>
              <w:pStyle w:val="Tabletext"/>
            </w:pPr>
            <w:r w:rsidRPr="00B672CA">
              <w:t>The</w:t>
            </w:r>
            <w:r w:rsidR="007F5F4C" w:rsidRPr="00B672CA">
              <w:t xml:space="preserve"> fund</w:t>
            </w:r>
            <w:r w:rsidRPr="00B672CA">
              <w:t xml:space="preserve"> is to offer concessional terms either through lower interest rate extended grace and/or repayment periods, and/or subordination, in order to stimulate co-investment from the market where the market does not or cannot at this time invest alone. The</w:t>
            </w:r>
            <w:r w:rsidR="007F5F4C" w:rsidRPr="00B672CA">
              <w:t xml:space="preserve"> fund</w:t>
            </w:r>
            <w:r w:rsidRPr="00B672CA">
              <w:t xml:space="preserve"> may be subordinate to all commercial investors, including Development Finance Institutions when they invest with funds raised in the capital markets (as opposed to donor-backed funds they manage).</w:t>
            </w:r>
          </w:p>
        </w:tc>
        <w:tc>
          <w:tcPr>
            <w:tcW w:w="2244" w:type="dxa"/>
            <w:shd w:val="clear" w:color="auto" w:fill="auto"/>
          </w:tcPr>
          <w:p w14:paraId="6B7091D6" w14:textId="77777777" w:rsidR="00D25D40" w:rsidRPr="00B672CA" w:rsidRDefault="00D25D40" w:rsidP="00371C61">
            <w:pPr>
              <w:pStyle w:val="Tabletext"/>
            </w:pPr>
          </w:p>
          <w:p w14:paraId="3C6305AD" w14:textId="77777777" w:rsidR="00EC7250" w:rsidRPr="00B672CA" w:rsidRDefault="00EC7250" w:rsidP="00371C61">
            <w:pPr>
              <w:pStyle w:val="Tabletext"/>
            </w:pPr>
          </w:p>
          <w:p w14:paraId="662E7EBA" w14:textId="77777777" w:rsidR="00EC7250" w:rsidRPr="00B672CA" w:rsidRDefault="00EC7250" w:rsidP="00371C61">
            <w:pPr>
              <w:pStyle w:val="Tabletext"/>
            </w:pPr>
          </w:p>
          <w:p w14:paraId="663F5C01" w14:textId="77777777" w:rsidR="00EC7250" w:rsidRPr="00B672CA" w:rsidRDefault="00EC7250" w:rsidP="00371C61">
            <w:pPr>
              <w:pStyle w:val="Tabletext"/>
            </w:pPr>
            <w:r w:rsidRPr="00B672CA">
              <w:t>1) See section A.1.3, description of output 1.2.</w:t>
            </w:r>
          </w:p>
          <w:p w14:paraId="3FDD5223" w14:textId="77777777" w:rsidR="00EC7250" w:rsidRPr="00B672CA" w:rsidRDefault="00EC7250" w:rsidP="00371C61">
            <w:pPr>
              <w:pStyle w:val="Tabletext"/>
            </w:pPr>
          </w:p>
          <w:p w14:paraId="377CB7CD" w14:textId="77777777" w:rsidR="00EC7250" w:rsidRPr="00B672CA" w:rsidRDefault="00EC7250" w:rsidP="00371C61">
            <w:pPr>
              <w:pStyle w:val="Tabletext"/>
            </w:pPr>
          </w:p>
          <w:p w14:paraId="664C521B" w14:textId="77777777" w:rsidR="00EC7250" w:rsidRPr="00B672CA" w:rsidRDefault="00EC7250" w:rsidP="00371C61">
            <w:pPr>
              <w:pStyle w:val="Tabletext"/>
            </w:pPr>
          </w:p>
          <w:p w14:paraId="72C6B8F0" w14:textId="77777777" w:rsidR="00EC7250" w:rsidRPr="00B672CA" w:rsidRDefault="00EC7250" w:rsidP="00371C61">
            <w:pPr>
              <w:pStyle w:val="Tabletext"/>
            </w:pPr>
          </w:p>
          <w:p w14:paraId="70B58B07" w14:textId="77777777" w:rsidR="00EC7250" w:rsidRPr="00B672CA" w:rsidRDefault="00EC7250" w:rsidP="00371C61">
            <w:pPr>
              <w:pStyle w:val="Tabletext"/>
            </w:pPr>
          </w:p>
          <w:p w14:paraId="352CD8CE" w14:textId="77777777" w:rsidR="00EC7250" w:rsidRPr="00B672CA" w:rsidRDefault="00EC7250" w:rsidP="00371C61">
            <w:pPr>
              <w:pStyle w:val="Tabletext"/>
            </w:pPr>
          </w:p>
          <w:p w14:paraId="0375B099" w14:textId="77777777" w:rsidR="00EC7250" w:rsidRPr="00B672CA" w:rsidRDefault="00EC7250" w:rsidP="00371C61">
            <w:pPr>
              <w:pStyle w:val="Tabletext"/>
            </w:pPr>
          </w:p>
          <w:p w14:paraId="3E4A7531" w14:textId="570059F8" w:rsidR="00EC7250" w:rsidRPr="00B672CA" w:rsidRDefault="00EC7250" w:rsidP="00371C61">
            <w:pPr>
              <w:pStyle w:val="Tabletext"/>
            </w:pPr>
            <w:r w:rsidRPr="00B672CA">
              <w:t xml:space="preserve">2) </w:t>
            </w:r>
            <w:r w:rsidR="00663F83" w:rsidRPr="00B672CA">
              <w:t>See Annex D.</w:t>
            </w:r>
          </w:p>
          <w:p w14:paraId="143C3CA5" w14:textId="77777777" w:rsidR="00EC7250" w:rsidRPr="00B672CA" w:rsidRDefault="00EC7250" w:rsidP="00371C61">
            <w:pPr>
              <w:pStyle w:val="Tabletext"/>
            </w:pPr>
          </w:p>
          <w:p w14:paraId="5439AD7B" w14:textId="77777777" w:rsidR="00EC7250" w:rsidRPr="00B672CA" w:rsidRDefault="00EC7250" w:rsidP="00371C61">
            <w:pPr>
              <w:pStyle w:val="Tabletext"/>
            </w:pPr>
          </w:p>
          <w:p w14:paraId="599BF40A" w14:textId="77777777" w:rsidR="00EC7250" w:rsidRPr="00B672CA" w:rsidRDefault="00EC7250" w:rsidP="00371C61">
            <w:pPr>
              <w:pStyle w:val="Tabletext"/>
            </w:pPr>
          </w:p>
          <w:p w14:paraId="4EEE12D3" w14:textId="77777777" w:rsidR="00EC7250" w:rsidRPr="00B672CA" w:rsidRDefault="00EC7250" w:rsidP="00371C61">
            <w:pPr>
              <w:pStyle w:val="Tabletext"/>
            </w:pPr>
          </w:p>
          <w:p w14:paraId="1E5517C6" w14:textId="77777777" w:rsidR="00EC7250" w:rsidRPr="00B672CA" w:rsidRDefault="00EC7250" w:rsidP="00371C61">
            <w:pPr>
              <w:pStyle w:val="Tabletext"/>
            </w:pPr>
          </w:p>
          <w:p w14:paraId="417DC8B8" w14:textId="77777777" w:rsidR="00EC7250" w:rsidRPr="00B672CA" w:rsidRDefault="00EC7250" w:rsidP="00371C61">
            <w:pPr>
              <w:pStyle w:val="Tabletext"/>
            </w:pPr>
          </w:p>
          <w:p w14:paraId="118A00C1" w14:textId="77777777" w:rsidR="00EC7250" w:rsidRPr="00B672CA" w:rsidRDefault="00EC7250" w:rsidP="00371C61">
            <w:pPr>
              <w:pStyle w:val="Tabletext"/>
            </w:pPr>
          </w:p>
          <w:p w14:paraId="764BB1A5" w14:textId="77777777" w:rsidR="00EC7250" w:rsidRPr="00B672CA" w:rsidRDefault="00EC7250" w:rsidP="00371C61">
            <w:pPr>
              <w:pStyle w:val="Tabletext"/>
            </w:pPr>
          </w:p>
          <w:p w14:paraId="50EAF65C" w14:textId="77777777" w:rsidR="00EC7250" w:rsidRPr="00B672CA" w:rsidRDefault="00EC7250" w:rsidP="00371C61">
            <w:pPr>
              <w:pStyle w:val="Tabletext"/>
            </w:pPr>
          </w:p>
          <w:p w14:paraId="60FA0528" w14:textId="77777777" w:rsidR="00EC7250" w:rsidRPr="00B672CA" w:rsidRDefault="00EC7250" w:rsidP="00371C61">
            <w:pPr>
              <w:pStyle w:val="Tabletext"/>
            </w:pPr>
          </w:p>
          <w:p w14:paraId="72A4B249" w14:textId="77777777" w:rsidR="00EC7250" w:rsidRPr="00B672CA" w:rsidRDefault="00EC7250" w:rsidP="00371C61">
            <w:pPr>
              <w:pStyle w:val="Tabletext"/>
            </w:pPr>
          </w:p>
          <w:p w14:paraId="335883CB" w14:textId="77777777" w:rsidR="00EC7250" w:rsidRPr="00B672CA" w:rsidRDefault="00EC7250" w:rsidP="00371C61">
            <w:pPr>
              <w:pStyle w:val="Tabletext"/>
            </w:pPr>
          </w:p>
          <w:p w14:paraId="65C4E487" w14:textId="77777777" w:rsidR="00EC7250" w:rsidRPr="00B672CA" w:rsidRDefault="00EC7250" w:rsidP="00371C61">
            <w:pPr>
              <w:pStyle w:val="Tabletext"/>
            </w:pPr>
          </w:p>
          <w:p w14:paraId="4D7FEA74" w14:textId="77777777" w:rsidR="00EC7250" w:rsidRPr="00B672CA" w:rsidRDefault="00EC7250" w:rsidP="00371C61">
            <w:pPr>
              <w:pStyle w:val="Tabletext"/>
            </w:pPr>
          </w:p>
          <w:p w14:paraId="3F52550F" w14:textId="77777777" w:rsidR="00EC7250" w:rsidRPr="00B672CA" w:rsidRDefault="00EC7250" w:rsidP="00371C61">
            <w:pPr>
              <w:pStyle w:val="Tabletext"/>
            </w:pPr>
          </w:p>
          <w:p w14:paraId="5495F006" w14:textId="77777777" w:rsidR="00EC7250" w:rsidRPr="00B672CA" w:rsidRDefault="00EC7250" w:rsidP="00371C61">
            <w:pPr>
              <w:pStyle w:val="Tabletext"/>
            </w:pPr>
          </w:p>
          <w:p w14:paraId="1725EC46" w14:textId="77777777" w:rsidR="00EC7250" w:rsidRPr="00B672CA" w:rsidRDefault="00EC7250" w:rsidP="00371C61">
            <w:pPr>
              <w:pStyle w:val="Tabletext"/>
            </w:pPr>
          </w:p>
          <w:p w14:paraId="24E607F5" w14:textId="77777777" w:rsidR="00EC7250" w:rsidRPr="00B672CA" w:rsidRDefault="00EC7250" w:rsidP="00371C61">
            <w:pPr>
              <w:pStyle w:val="Tabletext"/>
            </w:pPr>
          </w:p>
          <w:p w14:paraId="27CC0345" w14:textId="77777777" w:rsidR="00EC7250" w:rsidRPr="00B672CA" w:rsidRDefault="00EC7250" w:rsidP="00371C61">
            <w:pPr>
              <w:pStyle w:val="Tabletext"/>
            </w:pPr>
          </w:p>
          <w:p w14:paraId="58A6298F" w14:textId="77777777" w:rsidR="00EC7250" w:rsidRPr="00B672CA" w:rsidRDefault="00EC7250" w:rsidP="00371C61">
            <w:pPr>
              <w:pStyle w:val="Tabletext"/>
            </w:pPr>
          </w:p>
          <w:p w14:paraId="79953554" w14:textId="77777777" w:rsidR="00EC7250" w:rsidRPr="00B672CA" w:rsidRDefault="00EC7250" w:rsidP="00371C61">
            <w:pPr>
              <w:pStyle w:val="Tabletext"/>
            </w:pPr>
          </w:p>
          <w:p w14:paraId="6C2BC44F" w14:textId="77777777" w:rsidR="00EC7250" w:rsidRPr="00B672CA" w:rsidRDefault="00EC7250" w:rsidP="00371C61">
            <w:pPr>
              <w:pStyle w:val="Tabletext"/>
            </w:pPr>
          </w:p>
          <w:p w14:paraId="66170102" w14:textId="77777777" w:rsidR="00EC7250" w:rsidRPr="00B672CA" w:rsidRDefault="00EC7250" w:rsidP="00371C61">
            <w:pPr>
              <w:pStyle w:val="Tabletext"/>
            </w:pPr>
          </w:p>
          <w:p w14:paraId="1B8EA2BD" w14:textId="77777777" w:rsidR="00EC7250" w:rsidRPr="00B672CA" w:rsidRDefault="00EC7250" w:rsidP="00371C61">
            <w:pPr>
              <w:pStyle w:val="Tabletext"/>
            </w:pPr>
          </w:p>
          <w:p w14:paraId="60620427" w14:textId="77777777" w:rsidR="00EC7250" w:rsidRPr="00B672CA" w:rsidRDefault="00EC7250" w:rsidP="00371C61">
            <w:pPr>
              <w:pStyle w:val="Tabletext"/>
            </w:pPr>
          </w:p>
          <w:p w14:paraId="1CAA9806" w14:textId="26AB1DF6" w:rsidR="00EC7250" w:rsidRPr="00B672CA" w:rsidRDefault="00EC7250" w:rsidP="00371C61">
            <w:pPr>
              <w:pStyle w:val="Tabletext"/>
            </w:pPr>
            <w:r w:rsidRPr="00B672CA">
              <w:t>3) See Part I, Table C.</w:t>
            </w:r>
          </w:p>
        </w:tc>
      </w:tr>
      <w:tr w:rsidR="00D25D40" w:rsidRPr="00B672CA" w14:paraId="6A8799C2" w14:textId="77777777" w:rsidTr="00696322">
        <w:tc>
          <w:tcPr>
            <w:tcW w:w="3528" w:type="dxa"/>
            <w:shd w:val="clear" w:color="auto" w:fill="auto"/>
          </w:tcPr>
          <w:p w14:paraId="29058552" w14:textId="42000146" w:rsidR="00D25D40" w:rsidRPr="00B672CA" w:rsidRDefault="009B1A54" w:rsidP="00371C61">
            <w:pPr>
              <w:pStyle w:val="Tabletext"/>
            </w:pPr>
            <w:r w:rsidRPr="00B672CA">
              <w:t xml:space="preserve">(Received </w:t>
            </w:r>
            <w:r w:rsidR="00D25D40" w:rsidRPr="00B672CA">
              <w:t>January 5, 2017</w:t>
            </w:r>
            <w:r w:rsidRPr="00B672CA">
              <w:t>)</w:t>
            </w:r>
            <w:r w:rsidR="00D25D40" w:rsidRPr="00B672CA">
              <w:t xml:space="preserve"> </w:t>
            </w:r>
          </w:p>
          <w:p w14:paraId="153DB7F1" w14:textId="77777777" w:rsidR="009B1A54" w:rsidRPr="00B672CA" w:rsidRDefault="009B1A54" w:rsidP="00371C61">
            <w:pPr>
              <w:pStyle w:val="Tabletext"/>
            </w:pPr>
          </w:p>
          <w:p w14:paraId="334D2498" w14:textId="782507F9" w:rsidR="00D25D40" w:rsidRPr="00B672CA" w:rsidRDefault="00D25D40" w:rsidP="00371C61">
            <w:pPr>
              <w:pStyle w:val="Tabletext"/>
            </w:pPr>
            <w:r w:rsidRPr="00B672CA">
              <w:t>a) The PIF describes the GEF</w:t>
            </w:r>
            <w:r w:rsidR="00663F83" w:rsidRPr="00B672CA">
              <w:t xml:space="preserve"> </w:t>
            </w:r>
            <w:r w:rsidRPr="00B672CA">
              <w:t>investment in three initial projects.</w:t>
            </w:r>
            <w:r w:rsidR="00663F83" w:rsidRPr="00B672CA">
              <w:t xml:space="preserve"> </w:t>
            </w:r>
            <w:r w:rsidRPr="00B672CA">
              <w:t>However, Annex 1 presents two $1</w:t>
            </w:r>
            <w:r w:rsidR="00663F83" w:rsidRPr="00B672CA">
              <w:t xml:space="preserve"> </w:t>
            </w:r>
            <w:r w:rsidRPr="00B672CA">
              <w:t>million infusions. Please explain how</w:t>
            </w:r>
            <w:r w:rsidR="00663F83" w:rsidRPr="00B672CA">
              <w:t xml:space="preserve"> </w:t>
            </w:r>
            <w:r w:rsidRPr="00B672CA">
              <w:t>the GEF investments are allocated to</w:t>
            </w:r>
            <w:r w:rsidR="00663F83" w:rsidRPr="00B672CA">
              <w:t xml:space="preserve"> </w:t>
            </w:r>
            <w:r w:rsidRPr="00B672CA">
              <w:t>the three projects</w:t>
            </w:r>
          </w:p>
          <w:p w14:paraId="3FAFDB83" w14:textId="77777777" w:rsidR="00663F83" w:rsidRPr="00B672CA" w:rsidRDefault="00663F83" w:rsidP="00371C61">
            <w:pPr>
              <w:pStyle w:val="Tabletext"/>
            </w:pPr>
          </w:p>
          <w:p w14:paraId="1228A78E" w14:textId="77777777" w:rsidR="00663F83" w:rsidRPr="00B672CA" w:rsidRDefault="00663F83" w:rsidP="00371C61">
            <w:pPr>
              <w:pStyle w:val="Tabletext"/>
            </w:pPr>
          </w:p>
          <w:p w14:paraId="3CB0BE1D" w14:textId="77777777" w:rsidR="00663F83" w:rsidRPr="00B672CA" w:rsidRDefault="00663F83" w:rsidP="00371C61">
            <w:pPr>
              <w:pStyle w:val="Tabletext"/>
            </w:pPr>
          </w:p>
          <w:p w14:paraId="637A3BF8" w14:textId="77777777" w:rsidR="00663F83" w:rsidRPr="00B672CA" w:rsidRDefault="00663F83" w:rsidP="00371C61">
            <w:pPr>
              <w:pStyle w:val="Tabletext"/>
            </w:pPr>
          </w:p>
          <w:p w14:paraId="635B8656" w14:textId="77777777" w:rsidR="00663F83" w:rsidRPr="00B672CA" w:rsidRDefault="00663F83" w:rsidP="00371C61">
            <w:pPr>
              <w:pStyle w:val="Tabletext"/>
            </w:pPr>
          </w:p>
          <w:p w14:paraId="41D4200F" w14:textId="3D01066E" w:rsidR="00D25D40" w:rsidRPr="00B672CA" w:rsidRDefault="00D25D40" w:rsidP="00371C61">
            <w:pPr>
              <w:pStyle w:val="Tabletext"/>
            </w:pPr>
            <w:r w:rsidRPr="00B672CA">
              <w:t>b) The PP fund to which the GEF will</w:t>
            </w:r>
            <w:r w:rsidR="00663F83" w:rsidRPr="00B672CA">
              <w:t xml:space="preserve"> </w:t>
            </w:r>
            <w:r w:rsidRPr="00B672CA">
              <w:t>contributed funding appears to be</w:t>
            </w:r>
            <w:r w:rsidR="00663F83" w:rsidRPr="00B672CA">
              <w:t xml:space="preserve"> </w:t>
            </w:r>
            <w:r w:rsidRPr="00B672CA">
              <w:t>offering guarantees, structured</w:t>
            </w:r>
            <w:r w:rsidR="00663F83" w:rsidRPr="00B672CA">
              <w:t xml:space="preserve"> </w:t>
            </w:r>
            <w:r w:rsidRPr="00B672CA">
              <w:t>financing, and concessional loans, but</w:t>
            </w:r>
            <w:r w:rsidR="00663F83" w:rsidRPr="00B672CA">
              <w:t xml:space="preserve"> </w:t>
            </w:r>
            <w:r w:rsidRPr="00B672CA">
              <w:t>the financial structure is unspecified</w:t>
            </w:r>
            <w:r w:rsidR="00663F83" w:rsidRPr="00B672CA">
              <w:t xml:space="preserve"> </w:t>
            </w:r>
            <w:r w:rsidRPr="00B672CA">
              <w:t>and not clear. Please explain if GEF</w:t>
            </w:r>
            <w:r w:rsidR="00663F83" w:rsidRPr="00B672CA">
              <w:t xml:space="preserve"> </w:t>
            </w:r>
            <w:r w:rsidRPr="00B672CA">
              <w:t>funds will be mixed into the general</w:t>
            </w:r>
            <w:r w:rsidR="00663F83" w:rsidRPr="00B672CA">
              <w:t xml:space="preserve"> </w:t>
            </w:r>
            <w:r w:rsidRPr="00B672CA">
              <w:t>PP fund, or will be allocated to</w:t>
            </w:r>
            <w:r w:rsidR="00663F83" w:rsidRPr="00B672CA">
              <w:t xml:space="preserve"> </w:t>
            </w:r>
            <w:r w:rsidRPr="00B672CA">
              <w:t>specific investment projects</w:t>
            </w:r>
          </w:p>
          <w:p w14:paraId="6B606BE5" w14:textId="77777777" w:rsidR="00663F83" w:rsidRPr="00B672CA" w:rsidRDefault="00663F83" w:rsidP="00371C61">
            <w:pPr>
              <w:pStyle w:val="Tabletext"/>
            </w:pPr>
          </w:p>
          <w:p w14:paraId="4917CA96" w14:textId="00C2E9BC" w:rsidR="00D25D40" w:rsidRPr="00B672CA" w:rsidRDefault="00D25D40" w:rsidP="00371C61">
            <w:pPr>
              <w:pStyle w:val="Tabletext"/>
            </w:pPr>
            <w:r w:rsidRPr="00B672CA">
              <w:t>c) All GEF non-grant projects must</w:t>
            </w:r>
            <w:r w:rsidR="00663F83" w:rsidRPr="00B672CA">
              <w:t xml:space="preserve"> </w:t>
            </w:r>
            <w:r w:rsidRPr="00B672CA">
              <w:t>have a potential for reflows. Without</w:t>
            </w:r>
            <w:r w:rsidR="00663F83" w:rsidRPr="00B672CA">
              <w:t xml:space="preserve"> </w:t>
            </w:r>
            <w:r w:rsidRPr="00B672CA">
              <w:t>the potential for reflows, the project</w:t>
            </w:r>
            <w:r w:rsidR="00663F83" w:rsidRPr="00B672CA">
              <w:t xml:space="preserve"> </w:t>
            </w:r>
            <w:r w:rsidRPr="00B672CA">
              <w:t>will operate like a grant and will not</w:t>
            </w:r>
            <w:r w:rsidR="00663F83" w:rsidRPr="00B672CA">
              <w:t xml:space="preserve"> </w:t>
            </w:r>
            <w:r w:rsidRPr="00B672CA">
              <w:t>present opportunities for replication</w:t>
            </w:r>
            <w:r w:rsidR="00663F83" w:rsidRPr="00B672CA">
              <w:t xml:space="preserve"> </w:t>
            </w:r>
            <w:r w:rsidRPr="00B672CA">
              <w:t>and scaling by the private sector. For</w:t>
            </w:r>
            <w:r w:rsidR="00663F83" w:rsidRPr="00B672CA">
              <w:t xml:space="preserve"> </w:t>
            </w:r>
            <w:r w:rsidRPr="00B672CA">
              <w:t>a loan, it would be presumed that</w:t>
            </w:r>
            <w:r w:rsidR="00663F83" w:rsidRPr="00B672CA">
              <w:t xml:space="preserve"> </w:t>
            </w:r>
            <w:r w:rsidRPr="00B672CA">
              <w:t>capital costs would be at a</w:t>
            </w:r>
            <w:r w:rsidR="00663F83" w:rsidRPr="00B672CA">
              <w:t xml:space="preserve"> </w:t>
            </w:r>
            <w:r w:rsidRPr="00B672CA">
              <w:t>concessional rate, such as LIBOR, or</w:t>
            </w:r>
            <w:r w:rsidR="00663F83" w:rsidRPr="00B672CA">
              <w:t xml:space="preserve"> </w:t>
            </w:r>
            <w:r w:rsidRPr="00B672CA">
              <w:t>LIBOR + 50 basis points. For a risk</w:t>
            </w:r>
            <w:r w:rsidR="00663F83" w:rsidRPr="00B672CA">
              <w:t xml:space="preserve"> </w:t>
            </w:r>
            <w:r w:rsidRPr="00B672CA">
              <w:t>guarantee, a maintenance fee of</w:t>
            </w:r>
            <w:r w:rsidR="00663F83" w:rsidRPr="00B672CA">
              <w:t xml:space="preserve"> </w:t>
            </w:r>
            <w:r w:rsidRPr="00B672CA">
              <w:t>appropriate size is standard. For</w:t>
            </w:r>
            <w:r w:rsidR="00663F83" w:rsidRPr="00B672CA">
              <w:t xml:space="preserve"> </w:t>
            </w:r>
            <w:r w:rsidRPr="00B672CA">
              <w:t>structured financing, the rate of return</w:t>
            </w:r>
            <w:r w:rsidR="00663F83" w:rsidRPr="00B672CA">
              <w:t xml:space="preserve"> </w:t>
            </w:r>
            <w:r w:rsidRPr="00B672CA">
              <w:t>is negotiated with the other</w:t>
            </w:r>
            <w:r w:rsidR="00663F83" w:rsidRPr="00B672CA">
              <w:t xml:space="preserve"> </w:t>
            </w:r>
            <w:r w:rsidRPr="00B672CA">
              <w:t>investment partners to provide the</w:t>
            </w:r>
            <w:r w:rsidR="00663F83" w:rsidRPr="00B672CA">
              <w:t xml:space="preserve"> </w:t>
            </w:r>
            <w:r w:rsidRPr="00B672CA">
              <w:t>minimum level of concessionality.</w:t>
            </w:r>
            <w:r w:rsidR="00663F83" w:rsidRPr="00B672CA">
              <w:t xml:space="preserve"> </w:t>
            </w:r>
            <w:r w:rsidRPr="00B672CA">
              <w:t>Without these provisions, there is no</w:t>
            </w:r>
            <w:r w:rsidR="00663F83" w:rsidRPr="00B672CA">
              <w:t xml:space="preserve"> </w:t>
            </w:r>
            <w:r w:rsidRPr="00B672CA">
              <w:t>potential for reflows. In many GEF</w:t>
            </w:r>
            <w:r w:rsidR="00663F83" w:rsidRPr="00B672CA">
              <w:t xml:space="preserve"> </w:t>
            </w:r>
            <w:r w:rsidRPr="00B672CA">
              <w:t>non-grant projects, the use of GEF</w:t>
            </w:r>
            <w:r w:rsidR="00663F83" w:rsidRPr="00B672CA">
              <w:t xml:space="preserve"> </w:t>
            </w:r>
            <w:r w:rsidRPr="00B672CA">
              <w:t>funding for equity investments has</w:t>
            </w:r>
            <w:r w:rsidR="00663F83" w:rsidRPr="00B672CA">
              <w:t xml:space="preserve"> </w:t>
            </w:r>
            <w:r w:rsidRPr="00B672CA">
              <w:t>proven effective. Please explain if</w:t>
            </w:r>
            <w:r w:rsidR="00663F83" w:rsidRPr="00B672CA">
              <w:t xml:space="preserve"> </w:t>
            </w:r>
            <w:r w:rsidRPr="00B672CA">
              <w:t>equity funding will be an option, and</w:t>
            </w:r>
            <w:r w:rsidR="00663F83" w:rsidRPr="00B672CA">
              <w:t xml:space="preserve"> </w:t>
            </w:r>
            <w:r w:rsidRPr="00B672CA">
              <w:t>please revise the proposal to include</w:t>
            </w:r>
            <w:r w:rsidR="00663F83" w:rsidRPr="00B672CA">
              <w:t xml:space="preserve"> </w:t>
            </w:r>
            <w:r w:rsidRPr="00B672CA">
              <w:t>an appropriate rate of return for each</w:t>
            </w:r>
            <w:r w:rsidR="00663F83" w:rsidRPr="00B672CA">
              <w:t xml:space="preserve"> </w:t>
            </w:r>
            <w:r w:rsidRPr="00B672CA">
              <w:t>of the proposed eligible approaches</w:t>
            </w:r>
            <w:r w:rsidR="00663F83" w:rsidRPr="00B672CA">
              <w:t xml:space="preserve"> </w:t>
            </w:r>
            <w:r w:rsidRPr="00B672CA">
              <w:t>consistent with the goals of the PP</w:t>
            </w:r>
            <w:r w:rsidR="00663F83" w:rsidRPr="00B672CA">
              <w:t xml:space="preserve"> </w:t>
            </w:r>
            <w:r w:rsidRPr="00B672CA">
              <w:t>fund.</w:t>
            </w:r>
          </w:p>
          <w:p w14:paraId="508D7C74" w14:textId="77777777" w:rsidR="00663F83" w:rsidRPr="00B672CA" w:rsidRDefault="00663F83" w:rsidP="00371C61">
            <w:pPr>
              <w:pStyle w:val="Tabletext"/>
            </w:pPr>
          </w:p>
          <w:p w14:paraId="59E7888C" w14:textId="5EAA0EF9" w:rsidR="00D25D40" w:rsidRPr="00B672CA" w:rsidRDefault="00D25D40" w:rsidP="00371C61">
            <w:pPr>
              <w:pStyle w:val="Tabletext"/>
            </w:pPr>
            <w:r w:rsidRPr="00B672CA">
              <w:t>d) The proposed tenor, 20 years with</w:t>
            </w:r>
            <w:r w:rsidR="00663F83" w:rsidRPr="00B672CA">
              <w:t xml:space="preserve"> </w:t>
            </w:r>
            <w:r w:rsidRPr="00B672CA">
              <w:t>15 year grace period, appears to be a</w:t>
            </w:r>
            <w:r w:rsidR="00663F83" w:rsidRPr="00B672CA">
              <w:t xml:space="preserve"> </w:t>
            </w:r>
            <w:r w:rsidRPr="00B672CA">
              <w:t>concessional loan. This is acceptable,</w:t>
            </w:r>
            <w:r w:rsidR="00663F83" w:rsidRPr="00B672CA">
              <w:t xml:space="preserve"> </w:t>
            </w:r>
            <w:r w:rsidRPr="00B672CA">
              <w:t>though it would be standard for a</w:t>
            </w:r>
            <w:r w:rsidR="00663F83" w:rsidRPr="00B672CA">
              <w:t xml:space="preserve"> </w:t>
            </w:r>
            <w:r w:rsidRPr="00B672CA">
              <w:t>shorter payback period. If other</w:t>
            </w:r>
            <w:r w:rsidR="00663F83" w:rsidRPr="00B672CA">
              <w:t xml:space="preserve"> </w:t>
            </w:r>
            <w:r w:rsidRPr="00B672CA">
              <w:t>mechanisms are used, such as risk</w:t>
            </w:r>
            <w:r w:rsidR="00663F83" w:rsidRPr="00B672CA">
              <w:t xml:space="preserve"> </w:t>
            </w:r>
            <w:r w:rsidRPr="00B672CA">
              <w:t>guarantee, it is standard for fees to be</w:t>
            </w:r>
            <w:r w:rsidR="00663F83" w:rsidRPr="00B672CA">
              <w:t xml:space="preserve"> </w:t>
            </w:r>
            <w:r w:rsidRPr="00B672CA">
              <w:t>charged up front. Please evaluate the</w:t>
            </w:r>
            <w:r w:rsidR="00663F83" w:rsidRPr="00B672CA">
              <w:t xml:space="preserve"> </w:t>
            </w:r>
            <w:r w:rsidRPr="00B672CA">
              <w:t>options and propose a new approach.</w:t>
            </w:r>
          </w:p>
          <w:p w14:paraId="3D0D55A7" w14:textId="77777777" w:rsidR="00663F83" w:rsidRPr="00B672CA" w:rsidRDefault="00663F83" w:rsidP="00371C61">
            <w:pPr>
              <w:pStyle w:val="Tabletext"/>
            </w:pPr>
          </w:p>
          <w:p w14:paraId="46CC0762" w14:textId="77777777" w:rsidR="00663F83" w:rsidRPr="00B672CA" w:rsidRDefault="00663F83" w:rsidP="00371C61">
            <w:pPr>
              <w:pStyle w:val="Tabletext"/>
            </w:pPr>
          </w:p>
          <w:p w14:paraId="154CBD0A" w14:textId="77777777" w:rsidR="005919F3" w:rsidRPr="00B672CA" w:rsidRDefault="005919F3" w:rsidP="00371C61">
            <w:pPr>
              <w:pStyle w:val="Tabletext"/>
            </w:pPr>
          </w:p>
          <w:p w14:paraId="3BFCD750" w14:textId="77777777" w:rsidR="005919F3" w:rsidRPr="00B672CA" w:rsidRDefault="005919F3" w:rsidP="00371C61">
            <w:pPr>
              <w:pStyle w:val="Tabletext"/>
            </w:pPr>
          </w:p>
          <w:p w14:paraId="6DDCF81E" w14:textId="77777777" w:rsidR="005919F3" w:rsidRPr="00B672CA" w:rsidRDefault="005919F3" w:rsidP="00371C61">
            <w:pPr>
              <w:pStyle w:val="Tabletext"/>
            </w:pPr>
          </w:p>
          <w:p w14:paraId="512791DB" w14:textId="77777777" w:rsidR="005919F3" w:rsidRPr="00B672CA" w:rsidRDefault="005919F3" w:rsidP="00371C61">
            <w:pPr>
              <w:pStyle w:val="Tabletext"/>
            </w:pPr>
          </w:p>
          <w:p w14:paraId="76135B3E" w14:textId="77777777" w:rsidR="005919F3" w:rsidRPr="00B672CA" w:rsidRDefault="005919F3" w:rsidP="00371C61">
            <w:pPr>
              <w:pStyle w:val="Tabletext"/>
            </w:pPr>
          </w:p>
          <w:p w14:paraId="5FA04DCF" w14:textId="77777777" w:rsidR="005919F3" w:rsidRPr="00B672CA" w:rsidRDefault="005919F3" w:rsidP="00371C61">
            <w:pPr>
              <w:pStyle w:val="Tabletext"/>
            </w:pPr>
          </w:p>
          <w:p w14:paraId="23D5FACF" w14:textId="77777777" w:rsidR="005919F3" w:rsidRPr="00B672CA" w:rsidRDefault="005919F3" w:rsidP="00371C61">
            <w:pPr>
              <w:pStyle w:val="Tabletext"/>
            </w:pPr>
          </w:p>
          <w:p w14:paraId="2AADF2D5" w14:textId="31B9B250" w:rsidR="00D25D40" w:rsidRPr="00B672CA" w:rsidRDefault="00D25D40" w:rsidP="00371C61">
            <w:pPr>
              <w:pStyle w:val="Tabletext"/>
            </w:pPr>
            <w:r w:rsidRPr="00B672CA">
              <w:t>e) The project describes attracting</w:t>
            </w:r>
            <w:r w:rsidR="00771F65" w:rsidRPr="00B672CA">
              <w:t xml:space="preserve"> </w:t>
            </w:r>
            <w:r w:rsidRPr="00B672CA">
              <w:t>several investment partners, including</w:t>
            </w:r>
            <w:r w:rsidR="00771F65" w:rsidRPr="00B672CA">
              <w:t xml:space="preserve"> </w:t>
            </w:r>
            <w:r w:rsidRPr="00B672CA">
              <w:t>multilateral development banks. The</w:t>
            </w:r>
            <w:r w:rsidR="00771F65" w:rsidRPr="00B672CA">
              <w:t xml:space="preserve"> </w:t>
            </w:r>
            <w:r w:rsidRPr="00B672CA">
              <w:t>financing amounts to be provided by</w:t>
            </w:r>
            <w:r w:rsidR="00771F65" w:rsidRPr="00B672CA">
              <w:t xml:space="preserve"> </w:t>
            </w:r>
            <w:r w:rsidRPr="00B672CA">
              <w:t>these partners is not specified in the</w:t>
            </w:r>
            <w:r w:rsidR="00771F65" w:rsidRPr="00B672CA">
              <w:t xml:space="preserve"> </w:t>
            </w:r>
            <w:r w:rsidRPr="00B672CA">
              <w:t>document. Likewise, the equity</w:t>
            </w:r>
            <w:r w:rsidR="00771F65" w:rsidRPr="00B672CA">
              <w:t xml:space="preserve"> </w:t>
            </w:r>
            <w:r w:rsidRPr="00B672CA">
              <w:t>investments from beneficiaries is not</w:t>
            </w:r>
            <w:r w:rsidR="00771F65" w:rsidRPr="00B672CA">
              <w:t xml:space="preserve"> </w:t>
            </w:r>
            <w:r w:rsidRPr="00B672CA">
              <w:t>provided. Please provide an estimate</w:t>
            </w:r>
            <w:r w:rsidR="00771F65" w:rsidRPr="00B672CA">
              <w:t xml:space="preserve"> </w:t>
            </w:r>
            <w:r w:rsidRPr="00B672CA">
              <w:t>for these leveraged investments.</w:t>
            </w:r>
          </w:p>
        </w:tc>
        <w:tc>
          <w:tcPr>
            <w:tcW w:w="4686" w:type="dxa"/>
            <w:shd w:val="clear" w:color="auto" w:fill="auto"/>
          </w:tcPr>
          <w:p w14:paraId="6D34C44C" w14:textId="77777777" w:rsidR="00D25D40" w:rsidRPr="00B672CA" w:rsidRDefault="00D25D40" w:rsidP="00371C61">
            <w:pPr>
              <w:pStyle w:val="Tabletext"/>
            </w:pPr>
          </w:p>
          <w:p w14:paraId="1C5B7918" w14:textId="77777777" w:rsidR="007A1100" w:rsidRPr="00B672CA" w:rsidRDefault="007A1100" w:rsidP="00371C61">
            <w:pPr>
              <w:pStyle w:val="Tabletext"/>
            </w:pPr>
          </w:p>
          <w:p w14:paraId="319D96F1" w14:textId="23240D82" w:rsidR="007A1100" w:rsidRPr="00B672CA" w:rsidRDefault="00010049" w:rsidP="00371C61">
            <w:pPr>
              <w:pStyle w:val="Tabletext"/>
            </w:pPr>
            <w:r w:rsidRPr="00B672CA">
              <w:t xml:space="preserve">a) </w:t>
            </w:r>
            <w:r w:rsidR="007A1100" w:rsidRPr="00B672CA">
              <w:t xml:space="preserve">The GEF investments will be added as one USD 2 million contribution in the </w:t>
            </w:r>
            <w:r w:rsidR="00005AAD" w:rsidRPr="00B672CA">
              <w:t>&amp;Green Fund</w:t>
            </w:r>
            <w:r w:rsidR="007A1100" w:rsidRPr="00B672CA">
              <w:t xml:space="preserve"> along</w:t>
            </w:r>
            <w:r w:rsidR="008B6739" w:rsidRPr="00B672CA">
              <w:t>side</w:t>
            </w:r>
            <w:r w:rsidR="007A1100" w:rsidRPr="00B672CA">
              <w:t xml:space="preserve"> other contributors. It will subsequently take a proportional contribution </w:t>
            </w:r>
            <w:r w:rsidR="008B6739" w:rsidRPr="00B672CA">
              <w:t xml:space="preserve">of </w:t>
            </w:r>
            <w:r w:rsidR="007A1100" w:rsidRPr="00B672CA">
              <w:t>each transaction</w:t>
            </w:r>
            <w:r w:rsidR="008B6739" w:rsidRPr="00B672CA">
              <w:t xml:space="preserve"> the</w:t>
            </w:r>
            <w:r w:rsidR="007F5F4C" w:rsidRPr="00B672CA">
              <w:t xml:space="preserve"> fund</w:t>
            </w:r>
            <w:r w:rsidR="008B6739" w:rsidRPr="00B672CA">
              <w:t xml:space="preserve"> participates in during the tenor of the GEF investment</w:t>
            </w:r>
            <w:r w:rsidR="007A1100" w:rsidRPr="00B672CA">
              <w:t>. The fund will lend directly to landowners or manager</w:t>
            </w:r>
            <w:r w:rsidRPr="00B672CA">
              <w:t>s</w:t>
            </w:r>
            <w:r w:rsidR="007A1100" w:rsidRPr="00B672CA">
              <w:t xml:space="preserve"> or indirectly via a financial intermediary or intermediaries through syndicated loans </w:t>
            </w:r>
            <w:r w:rsidR="008B6739" w:rsidRPr="00B672CA">
              <w:t xml:space="preserve">in tropical forest regions which meet the JEC. </w:t>
            </w:r>
          </w:p>
          <w:p w14:paraId="05B47BFD" w14:textId="5B86BCCA" w:rsidR="007A1100" w:rsidRPr="00B672CA" w:rsidRDefault="007A1100" w:rsidP="00371C61">
            <w:pPr>
              <w:pStyle w:val="Tabletext"/>
            </w:pPr>
          </w:p>
          <w:p w14:paraId="2B892285" w14:textId="477451B2" w:rsidR="003117F6" w:rsidRPr="00B672CA" w:rsidRDefault="00010049" w:rsidP="00371C61">
            <w:pPr>
              <w:pStyle w:val="Tabletext"/>
            </w:pPr>
            <w:r w:rsidRPr="00B672CA">
              <w:t xml:space="preserve">b) </w:t>
            </w:r>
            <w:r w:rsidR="008B6739" w:rsidRPr="00B672CA">
              <w:t>GEF is investing into the</w:t>
            </w:r>
            <w:r w:rsidR="007F5F4C" w:rsidRPr="00B672CA">
              <w:t xml:space="preserve"> fund</w:t>
            </w:r>
            <w:r w:rsidR="008B6739" w:rsidRPr="00B672CA">
              <w:t xml:space="preserve"> (</w:t>
            </w:r>
            <w:r w:rsidR="00997C6B" w:rsidRPr="00B672CA">
              <w:t xml:space="preserve">the </w:t>
            </w:r>
            <w:r w:rsidR="008B6739" w:rsidRPr="00B672CA">
              <w:t xml:space="preserve">legal entity </w:t>
            </w:r>
            <w:r w:rsidR="00997C6B" w:rsidRPr="00B672CA">
              <w:t xml:space="preserve">is </w:t>
            </w:r>
            <w:r w:rsidR="008B6739" w:rsidRPr="00B672CA">
              <w:t>a Dutch Foundation) and will thus be exposed to the full underlying portfolio of the</w:t>
            </w:r>
            <w:r w:rsidR="007F5F4C" w:rsidRPr="00B672CA">
              <w:t xml:space="preserve"> fund</w:t>
            </w:r>
            <w:r w:rsidR="008B6739" w:rsidRPr="00B672CA">
              <w:t xml:space="preserve">. </w:t>
            </w:r>
            <w:r w:rsidR="003117F6" w:rsidRPr="00B672CA">
              <w:t xml:space="preserve">GEF’s exposure will be </w:t>
            </w:r>
            <w:r w:rsidR="003117F6" w:rsidRPr="00B672CA">
              <w:rPr>
                <w:i/>
              </w:rPr>
              <w:t>pari passu</w:t>
            </w:r>
            <w:r w:rsidR="003117F6" w:rsidRPr="00B672CA">
              <w:t xml:space="preserve"> in terms of risk to other bilateral and multilateral donors in the</w:t>
            </w:r>
            <w:r w:rsidR="007F5F4C" w:rsidRPr="00B672CA">
              <w:t xml:space="preserve"> fund</w:t>
            </w:r>
            <w:r w:rsidR="003117F6" w:rsidRPr="00B672CA">
              <w:t>, e.g. the Norwegian International Climate and Finance Initiative, however subordinate to private sector investors (</w:t>
            </w:r>
            <w:r w:rsidR="00997C6B" w:rsidRPr="00B672CA">
              <w:t>e.g.</w:t>
            </w:r>
            <w:r w:rsidR="003117F6" w:rsidRPr="00B672CA">
              <w:t xml:space="preserve"> Unilever). </w:t>
            </w:r>
          </w:p>
          <w:p w14:paraId="477C9DB3" w14:textId="6BBB5EC2" w:rsidR="007A1100" w:rsidRPr="00B672CA" w:rsidRDefault="007A1100" w:rsidP="00371C61">
            <w:pPr>
              <w:pStyle w:val="Tabletext"/>
            </w:pPr>
          </w:p>
          <w:p w14:paraId="6D182A66" w14:textId="77777777" w:rsidR="00663F83" w:rsidRPr="00B672CA" w:rsidRDefault="00663F83" w:rsidP="00371C61">
            <w:pPr>
              <w:pStyle w:val="Tabletext"/>
            </w:pPr>
          </w:p>
          <w:p w14:paraId="531F6EC9" w14:textId="77777777" w:rsidR="00663F83" w:rsidRPr="00B672CA" w:rsidRDefault="00663F83" w:rsidP="00371C61">
            <w:pPr>
              <w:pStyle w:val="Tabletext"/>
            </w:pPr>
          </w:p>
          <w:p w14:paraId="538F69E1" w14:textId="637A5D60" w:rsidR="003117F6" w:rsidRPr="00B672CA" w:rsidRDefault="00010049" w:rsidP="00371C61">
            <w:pPr>
              <w:pStyle w:val="Tabletext"/>
            </w:pPr>
            <w:r w:rsidRPr="00B672CA">
              <w:t xml:space="preserve">c) </w:t>
            </w:r>
            <w:r w:rsidR="007A1100" w:rsidRPr="00B672CA">
              <w:t>The</w:t>
            </w:r>
            <w:r w:rsidR="007F5F4C" w:rsidRPr="00B672CA">
              <w:t xml:space="preserve"> fund</w:t>
            </w:r>
            <w:r w:rsidR="007A1100" w:rsidRPr="00B672CA">
              <w:t xml:space="preserve"> will make use of a full range of credit instruments (term loans, notes, guarantees), and aims to maximize leverage from partner financial institutions and borrowers. The</w:t>
            </w:r>
            <w:r w:rsidR="007F5F4C" w:rsidRPr="00B672CA">
              <w:t xml:space="preserve"> fund</w:t>
            </w:r>
            <w:r w:rsidR="007A1100" w:rsidRPr="00B672CA">
              <w:t xml:space="preserve"> may seek to obtain a profit share participation in a project or company cash flows in addition to its fixed interest compensation but is not in a position to manage or dispose of equity and will therefore not pursue transactions that involve mezzanine finance or convertible debt provisions</w:t>
            </w:r>
            <w:r w:rsidR="00251FEC" w:rsidRPr="00B672CA">
              <w:t>.</w:t>
            </w:r>
          </w:p>
          <w:p w14:paraId="3FDDBD2C" w14:textId="77777777" w:rsidR="003117F6" w:rsidRPr="00B672CA" w:rsidRDefault="003117F6" w:rsidP="00371C61">
            <w:pPr>
              <w:pStyle w:val="Tabletext"/>
            </w:pPr>
          </w:p>
          <w:p w14:paraId="5EEC5FF5" w14:textId="77777777" w:rsidR="00663F83" w:rsidRPr="00B672CA" w:rsidRDefault="00663F83" w:rsidP="00371C61">
            <w:pPr>
              <w:pStyle w:val="Tabletext"/>
            </w:pPr>
          </w:p>
          <w:p w14:paraId="2D2A1BF0" w14:textId="77777777" w:rsidR="00663F83" w:rsidRPr="00B672CA" w:rsidRDefault="00663F83" w:rsidP="00371C61">
            <w:pPr>
              <w:pStyle w:val="Tabletext"/>
            </w:pPr>
          </w:p>
          <w:p w14:paraId="437E892C" w14:textId="77777777" w:rsidR="00663F83" w:rsidRPr="00B672CA" w:rsidRDefault="00663F83" w:rsidP="00371C61">
            <w:pPr>
              <w:pStyle w:val="Tabletext"/>
            </w:pPr>
          </w:p>
          <w:p w14:paraId="686145A8" w14:textId="77777777" w:rsidR="00663F83" w:rsidRPr="00B672CA" w:rsidRDefault="00663F83" w:rsidP="00371C61">
            <w:pPr>
              <w:pStyle w:val="Tabletext"/>
            </w:pPr>
          </w:p>
          <w:p w14:paraId="76BA34B7" w14:textId="77777777" w:rsidR="00663F83" w:rsidRPr="00B672CA" w:rsidRDefault="00663F83" w:rsidP="00371C61">
            <w:pPr>
              <w:pStyle w:val="Tabletext"/>
            </w:pPr>
          </w:p>
          <w:p w14:paraId="608545E4" w14:textId="77777777" w:rsidR="00663F83" w:rsidRPr="00B672CA" w:rsidRDefault="00663F83" w:rsidP="00371C61">
            <w:pPr>
              <w:pStyle w:val="Tabletext"/>
            </w:pPr>
          </w:p>
          <w:p w14:paraId="73D72DF1" w14:textId="77777777" w:rsidR="00663F83" w:rsidRPr="00B672CA" w:rsidRDefault="00663F83" w:rsidP="00371C61">
            <w:pPr>
              <w:pStyle w:val="Tabletext"/>
            </w:pPr>
          </w:p>
          <w:p w14:paraId="210A68E5" w14:textId="77777777" w:rsidR="00663F83" w:rsidRPr="00B672CA" w:rsidRDefault="00663F83" w:rsidP="00371C61">
            <w:pPr>
              <w:pStyle w:val="Tabletext"/>
            </w:pPr>
          </w:p>
          <w:p w14:paraId="2766D3DD" w14:textId="77777777" w:rsidR="00663F83" w:rsidRPr="00B672CA" w:rsidRDefault="00663F83" w:rsidP="00371C61">
            <w:pPr>
              <w:pStyle w:val="Tabletext"/>
            </w:pPr>
          </w:p>
          <w:p w14:paraId="2EDA8161" w14:textId="77777777" w:rsidR="00663F83" w:rsidRPr="00B672CA" w:rsidRDefault="00663F83" w:rsidP="00371C61">
            <w:pPr>
              <w:pStyle w:val="Tabletext"/>
            </w:pPr>
          </w:p>
          <w:p w14:paraId="0FA233A4" w14:textId="77777777" w:rsidR="00663F83" w:rsidRPr="00B672CA" w:rsidRDefault="00663F83" w:rsidP="00371C61">
            <w:pPr>
              <w:pStyle w:val="Tabletext"/>
            </w:pPr>
          </w:p>
          <w:p w14:paraId="5CA3E667" w14:textId="77777777" w:rsidR="00663F83" w:rsidRPr="00B672CA" w:rsidRDefault="00663F83" w:rsidP="00371C61">
            <w:pPr>
              <w:pStyle w:val="Tabletext"/>
            </w:pPr>
          </w:p>
          <w:p w14:paraId="16CAF6BB" w14:textId="77777777" w:rsidR="00663F83" w:rsidRPr="00B672CA" w:rsidRDefault="00663F83" w:rsidP="00371C61">
            <w:pPr>
              <w:pStyle w:val="Tabletext"/>
            </w:pPr>
          </w:p>
          <w:p w14:paraId="03681A56" w14:textId="77777777" w:rsidR="00663F83" w:rsidRPr="00B672CA" w:rsidRDefault="00663F83" w:rsidP="00371C61">
            <w:pPr>
              <w:pStyle w:val="Tabletext"/>
            </w:pPr>
          </w:p>
          <w:p w14:paraId="4BC703C6" w14:textId="77777777" w:rsidR="00663F83" w:rsidRPr="00B672CA" w:rsidRDefault="00663F83" w:rsidP="00371C61">
            <w:pPr>
              <w:pStyle w:val="Tabletext"/>
            </w:pPr>
          </w:p>
          <w:p w14:paraId="2CE8950D" w14:textId="77777777" w:rsidR="00663F83" w:rsidRPr="00B672CA" w:rsidRDefault="00663F83" w:rsidP="00371C61">
            <w:pPr>
              <w:pStyle w:val="Tabletext"/>
            </w:pPr>
          </w:p>
          <w:p w14:paraId="2E9762AC" w14:textId="2CD17291" w:rsidR="001A5812" w:rsidRPr="00B672CA" w:rsidRDefault="00010049" w:rsidP="00371C61">
            <w:pPr>
              <w:pStyle w:val="Tabletext"/>
            </w:pPr>
            <w:r w:rsidRPr="00B672CA">
              <w:t xml:space="preserve">d) </w:t>
            </w:r>
            <w:r w:rsidR="005919F3" w:rsidRPr="00B672CA">
              <w:t xml:space="preserve">GEF’s investment will be considered as an equity investment with a redemption date (tenor 20 years), and with a surplus fund distribution. GEF’s investment can be considered as an equity payoff wherein it invests a par amount ($2 million) that is repaid on the redemption date as par plus Net Asset Value performance. The GEF funding will take the same risk as the other grant and redeemable grant contributors to the </w:t>
            </w:r>
            <w:r w:rsidR="00005AAD" w:rsidRPr="00B672CA">
              <w:t>&amp;Green Fund</w:t>
            </w:r>
            <w:r w:rsidR="005919F3" w:rsidRPr="00B672CA">
              <w:t xml:space="preserve">, with the difference being that the GEF expects repayment of its grant at a future date. The repayment might be impaired if the Net Asset Value of the </w:t>
            </w:r>
            <w:r w:rsidR="00005AAD" w:rsidRPr="00B672CA">
              <w:t>&amp;Green Fund</w:t>
            </w:r>
            <w:r w:rsidR="005919F3" w:rsidRPr="00B672CA">
              <w:t xml:space="preserve"> has decreased due to costs incurred and not (entirely) recouped from the investments made by the </w:t>
            </w:r>
            <w:r w:rsidR="00005AAD" w:rsidRPr="00B672CA">
              <w:t>&amp;Green Fund</w:t>
            </w:r>
            <w:r w:rsidR="005919F3" w:rsidRPr="00B672CA">
              <w:t xml:space="preserve">. It is expected that the GEF investment will be paid back as a one-time payment because the structure of the </w:t>
            </w:r>
            <w:r w:rsidR="00005AAD" w:rsidRPr="00B672CA">
              <w:t>&amp;Green Fund</w:t>
            </w:r>
            <w:r w:rsidR="005919F3" w:rsidRPr="00B672CA">
              <w:t xml:space="preserve"> does not allow for annual reflows.</w:t>
            </w:r>
          </w:p>
          <w:p w14:paraId="25C4A59E" w14:textId="77777777" w:rsidR="001A5812" w:rsidRPr="00B672CA" w:rsidRDefault="001A5812" w:rsidP="00371C61">
            <w:pPr>
              <w:pStyle w:val="Tabletext"/>
            </w:pPr>
          </w:p>
          <w:p w14:paraId="58E480D8" w14:textId="767EB40E" w:rsidR="001A5812" w:rsidRPr="00B672CA" w:rsidRDefault="00010049" w:rsidP="00371C61">
            <w:pPr>
              <w:pStyle w:val="Tabletext"/>
            </w:pPr>
            <w:r w:rsidRPr="00B672CA">
              <w:t xml:space="preserve">e) </w:t>
            </w:r>
            <w:r w:rsidR="001A5812" w:rsidRPr="00B672CA">
              <w:t>Private sector investors are being targeted to provide a minimum 15yr grace period, with 20 yr redemption. It is thus</w:t>
            </w:r>
            <w:r w:rsidR="001F2994" w:rsidRPr="00B672CA">
              <w:t xml:space="preserve"> critical </w:t>
            </w:r>
            <w:r w:rsidR="001A5812" w:rsidRPr="00B672CA">
              <w:t>for the</w:t>
            </w:r>
            <w:r w:rsidR="007F5F4C" w:rsidRPr="00B672CA">
              <w:t xml:space="preserve"> fund</w:t>
            </w:r>
            <w:r w:rsidR="001A5812" w:rsidRPr="00B672CA">
              <w:t xml:space="preserve"> that GEF is able to provide a longer-term commitment to attract further private investment into </w:t>
            </w:r>
            <w:r w:rsidR="00005AAD" w:rsidRPr="00B672CA">
              <w:t>&amp;Green Fund</w:t>
            </w:r>
            <w:r w:rsidR="001A5812" w:rsidRPr="00B672CA">
              <w:t xml:space="preserve">, thus being subordinate in its redeemable grants provided. </w:t>
            </w:r>
          </w:p>
          <w:p w14:paraId="512FC8B8" w14:textId="77777777" w:rsidR="001A5812" w:rsidRPr="00B672CA" w:rsidRDefault="001A5812" w:rsidP="00371C61">
            <w:pPr>
              <w:pStyle w:val="Tabletext"/>
            </w:pPr>
          </w:p>
          <w:p w14:paraId="3F150856" w14:textId="0548FA3A" w:rsidR="001A5812" w:rsidRPr="00B672CA" w:rsidRDefault="00251FEC" w:rsidP="00371C61">
            <w:pPr>
              <w:pStyle w:val="Tabletext"/>
            </w:pPr>
            <w:r w:rsidRPr="00B672CA">
              <w:t xml:space="preserve">The </w:t>
            </w:r>
            <w:r w:rsidR="001A5812" w:rsidRPr="00B672CA">
              <w:t xml:space="preserve">Lending </w:t>
            </w:r>
            <w:r w:rsidR="00771F65" w:rsidRPr="00B672CA">
              <w:t>Policy</w:t>
            </w:r>
            <w:r w:rsidR="001A5812" w:rsidRPr="00B672CA">
              <w:t xml:space="preserve"> of the</w:t>
            </w:r>
            <w:r w:rsidR="007F5F4C" w:rsidRPr="00B672CA">
              <w:t xml:space="preserve"> fund</w:t>
            </w:r>
            <w:r w:rsidRPr="00B672CA">
              <w:t xml:space="preserve"> </w:t>
            </w:r>
            <w:r w:rsidR="001A5812" w:rsidRPr="00B672CA">
              <w:t>stipulate</w:t>
            </w:r>
            <w:r w:rsidR="00771F65" w:rsidRPr="00B672CA">
              <w:t>s</w:t>
            </w:r>
            <w:r w:rsidR="001A5812" w:rsidRPr="00B672CA">
              <w:t xml:space="preserve"> </w:t>
            </w:r>
            <w:r w:rsidRPr="00B672CA">
              <w:t>that it will not take more than 25% of a project's total risk (unless in a least developed country where it can take up to 30% of the risk). However, the target for the fund is leverage private finance on a ratio of 5:1. There is no set minimum project size or</w:t>
            </w:r>
            <w:r w:rsidR="007F5F4C" w:rsidRPr="00B672CA">
              <w:t xml:space="preserve"> fund</w:t>
            </w:r>
            <w:r w:rsidRPr="00B672CA">
              <w:t xml:space="preserve"> contribution, however all projects must recover their direct costs and a proportionate share of overall fund costs, and include provision for default risk (see pricing philosophy </w:t>
            </w:r>
            <w:r w:rsidR="00771F65" w:rsidRPr="00B672CA">
              <w:t>described in response to comment 2 above, and in Section A.1.3, Output 1.2</w:t>
            </w:r>
            <w:r w:rsidRPr="00B672CA">
              <w:t>). Given this it is likely that the</w:t>
            </w:r>
            <w:r w:rsidR="007F5F4C" w:rsidRPr="00B672CA">
              <w:t xml:space="preserve"> fund</w:t>
            </w:r>
            <w:r w:rsidRPr="00B672CA">
              <w:t xml:space="preserve"> will mainly participate in projects where its own contribution totals at least US$5 million. The</w:t>
            </w:r>
            <w:r w:rsidR="007F5F4C" w:rsidRPr="00B672CA">
              <w:t xml:space="preserve"> fund</w:t>
            </w:r>
            <w:r w:rsidRPr="00B672CA">
              <w:t xml:space="preserve"> will target an average </w:t>
            </w:r>
            <w:r w:rsidR="001A5812" w:rsidRPr="00B672CA">
              <w:t xml:space="preserve">investment </w:t>
            </w:r>
            <w:r w:rsidRPr="00B672CA">
              <w:t>size of US$ 10-15 million</w:t>
            </w:r>
            <w:r w:rsidR="001A5812" w:rsidRPr="00B672CA">
              <w:t>, and thus total transaction size larger than US$ 30 million</w:t>
            </w:r>
            <w:r w:rsidRPr="00B672CA">
              <w:t>, although this may be lower during the early years whilst the</w:t>
            </w:r>
            <w:r w:rsidR="007F5F4C" w:rsidRPr="00B672CA">
              <w:t xml:space="preserve"> fund</w:t>
            </w:r>
            <w:r w:rsidRPr="00B672CA">
              <w:t xml:space="preserve"> is not fully </w:t>
            </w:r>
            <w:r w:rsidR="00101D6E" w:rsidRPr="00B672CA">
              <w:t>capitalized</w:t>
            </w:r>
            <w:r w:rsidRPr="00B672CA">
              <w:t xml:space="preserve">. </w:t>
            </w:r>
          </w:p>
          <w:p w14:paraId="1EBFC017" w14:textId="77777777" w:rsidR="001A5812" w:rsidRPr="00B672CA" w:rsidRDefault="001A5812" w:rsidP="00371C61">
            <w:pPr>
              <w:pStyle w:val="Tabletext"/>
            </w:pPr>
          </w:p>
          <w:p w14:paraId="6E49912B" w14:textId="20A40322" w:rsidR="00251FEC" w:rsidRPr="00B672CA" w:rsidRDefault="001A5812" w:rsidP="00371C61">
            <w:pPr>
              <w:pStyle w:val="Tabletext"/>
            </w:pPr>
            <w:r w:rsidRPr="00B672CA">
              <w:t>We expect that co-investors (financial institutions, impact investmen</w:t>
            </w:r>
            <w:r w:rsidR="00A10AC2" w:rsidRPr="00B672CA">
              <w:t xml:space="preserve">t funds, </w:t>
            </w:r>
            <w:r w:rsidR="00771F65" w:rsidRPr="00B672CA">
              <w:t>etc.</w:t>
            </w:r>
            <w:r w:rsidR="00A10AC2" w:rsidRPr="00B672CA">
              <w:t>) will contribute 50-80</w:t>
            </w:r>
            <w:r w:rsidRPr="00B672CA">
              <w:t xml:space="preserve">% of the remaining required financing in a project and then the land-user and </w:t>
            </w:r>
            <w:r w:rsidR="00A10AC2" w:rsidRPr="00B672CA">
              <w:t>Sponsor client (i.e. the supply chain company usually) will provide the remaining (usually through equity or in-kind capital)</w:t>
            </w:r>
          </w:p>
        </w:tc>
        <w:tc>
          <w:tcPr>
            <w:tcW w:w="2244" w:type="dxa"/>
            <w:shd w:val="clear" w:color="auto" w:fill="auto"/>
          </w:tcPr>
          <w:p w14:paraId="7BC66666" w14:textId="77777777" w:rsidR="00D25D40" w:rsidRPr="00B672CA" w:rsidRDefault="00D25D40" w:rsidP="00371C61">
            <w:pPr>
              <w:pStyle w:val="Tabletext"/>
            </w:pPr>
          </w:p>
          <w:p w14:paraId="05534CB2" w14:textId="77777777" w:rsidR="009B1A54" w:rsidRPr="00B672CA" w:rsidRDefault="009B1A54" w:rsidP="00371C61">
            <w:pPr>
              <w:pStyle w:val="Tabletext"/>
            </w:pPr>
          </w:p>
          <w:p w14:paraId="035F2CDD" w14:textId="77777777" w:rsidR="009B1A54" w:rsidRPr="00B672CA" w:rsidRDefault="009B1A54" w:rsidP="00371C61">
            <w:pPr>
              <w:pStyle w:val="Tabletext"/>
            </w:pPr>
            <w:r w:rsidRPr="00B672CA">
              <w:t>a) See section A.1.3, second paragraph.</w:t>
            </w:r>
          </w:p>
          <w:p w14:paraId="7548D301" w14:textId="77777777" w:rsidR="009B1A54" w:rsidRPr="00B672CA" w:rsidRDefault="009B1A54" w:rsidP="00371C61">
            <w:pPr>
              <w:pStyle w:val="Tabletext"/>
            </w:pPr>
          </w:p>
          <w:p w14:paraId="05D3BA76" w14:textId="77777777" w:rsidR="009B1A54" w:rsidRPr="00B672CA" w:rsidRDefault="009B1A54" w:rsidP="00371C61">
            <w:pPr>
              <w:pStyle w:val="Tabletext"/>
            </w:pPr>
          </w:p>
          <w:p w14:paraId="26A50654" w14:textId="77777777" w:rsidR="009B1A54" w:rsidRPr="00B672CA" w:rsidRDefault="009B1A54" w:rsidP="00371C61">
            <w:pPr>
              <w:pStyle w:val="Tabletext"/>
            </w:pPr>
          </w:p>
          <w:p w14:paraId="23F0869B" w14:textId="77777777" w:rsidR="009B1A54" w:rsidRPr="00B672CA" w:rsidRDefault="009B1A54" w:rsidP="00371C61">
            <w:pPr>
              <w:pStyle w:val="Tabletext"/>
            </w:pPr>
          </w:p>
          <w:p w14:paraId="5D68A3BA" w14:textId="77777777" w:rsidR="009B1A54" w:rsidRPr="00B672CA" w:rsidRDefault="009B1A54" w:rsidP="00371C61">
            <w:pPr>
              <w:pStyle w:val="Tabletext"/>
            </w:pPr>
          </w:p>
          <w:p w14:paraId="125DF1FC" w14:textId="77777777" w:rsidR="009B1A54" w:rsidRPr="00B672CA" w:rsidRDefault="009B1A54" w:rsidP="00371C61">
            <w:pPr>
              <w:pStyle w:val="Tabletext"/>
            </w:pPr>
          </w:p>
          <w:p w14:paraId="39191B1A" w14:textId="77777777" w:rsidR="009B1A54" w:rsidRPr="00B672CA" w:rsidRDefault="009B1A54" w:rsidP="00371C61">
            <w:pPr>
              <w:pStyle w:val="Tabletext"/>
            </w:pPr>
          </w:p>
          <w:p w14:paraId="13318406" w14:textId="77777777" w:rsidR="009B1A54" w:rsidRPr="00B672CA" w:rsidRDefault="009B1A54" w:rsidP="00371C61">
            <w:pPr>
              <w:pStyle w:val="Tabletext"/>
            </w:pPr>
          </w:p>
          <w:p w14:paraId="3C840A8D" w14:textId="77777777" w:rsidR="009B1A54" w:rsidRPr="00B672CA" w:rsidRDefault="009B1A54" w:rsidP="00371C61">
            <w:pPr>
              <w:pStyle w:val="Tabletext"/>
            </w:pPr>
            <w:r w:rsidRPr="00B672CA">
              <w:t>b)</w:t>
            </w:r>
            <w:r w:rsidR="00A413CC" w:rsidRPr="00B672CA">
              <w:t xml:space="preserve"> See section A.1.3, second paragraph.</w:t>
            </w:r>
          </w:p>
          <w:p w14:paraId="30959F50" w14:textId="77777777" w:rsidR="00A413CC" w:rsidRPr="00B672CA" w:rsidRDefault="00A413CC" w:rsidP="00371C61">
            <w:pPr>
              <w:pStyle w:val="Tabletext"/>
            </w:pPr>
          </w:p>
          <w:p w14:paraId="770D7C9A" w14:textId="77777777" w:rsidR="00A413CC" w:rsidRPr="00B672CA" w:rsidRDefault="00A413CC" w:rsidP="00371C61">
            <w:pPr>
              <w:pStyle w:val="Tabletext"/>
            </w:pPr>
          </w:p>
          <w:p w14:paraId="5B721728" w14:textId="77777777" w:rsidR="00A413CC" w:rsidRPr="00B672CA" w:rsidRDefault="00A413CC" w:rsidP="00371C61">
            <w:pPr>
              <w:pStyle w:val="Tabletext"/>
            </w:pPr>
          </w:p>
          <w:p w14:paraId="42EF3312" w14:textId="77777777" w:rsidR="00A413CC" w:rsidRPr="00B672CA" w:rsidRDefault="00A413CC" w:rsidP="00371C61">
            <w:pPr>
              <w:pStyle w:val="Tabletext"/>
            </w:pPr>
          </w:p>
          <w:p w14:paraId="6D8715B3" w14:textId="77777777" w:rsidR="00A413CC" w:rsidRPr="00B672CA" w:rsidRDefault="00A413CC" w:rsidP="00371C61">
            <w:pPr>
              <w:pStyle w:val="Tabletext"/>
            </w:pPr>
          </w:p>
          <w:p w14:paraId="72585DE6" w14:textId="77777777" w:rsidR="00A413CC" w:rsidRPr="00B672CA" w:rsidRDefault="00A413CC" w:rsidP="00371C61">
            <w:pPr>
              <w:pStyle w:val="Tabletext"/>
            </w:pPr>
          </w:p>
          <w:p w14:paraId="431733B8" w14:textId="77777777" w:rsidR="00A413CC" w:rsidRPr="00B672CA" w:rsidRDefault="00A413CC" w:rsidP="00371C61">
            <w:pPr>
              <w:pStyle w:val="Tabletext"/>
            </w:pPr>
          </w:p>
          <w:p w14:paraId="6C27FAB9" w14:textId="77777777" w:rsidR="00A413CC" w:rsidRPr="00B672CA" w:rsidRDefault="00A413CC" w:rsidP="00371C61">
            <w:pPr>
              <w:pStyle w:val="Tabletext"/>
            </w:pPr>
          </w:p>
          <w:p w14:paraId="246CBE68" w14:textId="0E930853" w:rsidR="00A413CC" w:rsidRPr="00B672CA" w:rsidRDefault="00A413CC" w:rsidP="00371C61">
            <w:pPr>
              <w:pStyle w:val="Tabletext"/>
            </w:pPr>
            <w:r w:rsidRPr="00B672CA">
              <w:t>c) See section A.1.3, description of Output 1.2.</w:t>
            </w:r>
          </w:p>
          <w:p w14:paraId="7AD16309" w14:textId="77777777" w:rsidR="00A413CC" w:rsidRPr="00B672CA" w:rsidRDefault="00A413CC" w:rsidP="00371C61">
            <w:pPr>
              <w:pStyle w:val="Tabletext"/>
            </w:pPr>
          </w:p>
          <w:p w14:paraId="4DD14682" w14:textId="77777777" w:rsidR="00A413CC" w:rsidRPr="00B672CA" w:rsidRDefault="00A413CC" w:rsidP="00371C61">
            <w:pPr>
              <w:pStyle w:val="Tabletext"/>
            </w:pPr>
          </w:p>
          <w:p w14:paraId="708AB4FA" w14:textId="77777777" w:rsidR="00A413CC" w:rsidRPr="00B672CA" w:rsidRDefault="00A413CC" w:rsidP="00371C61">
            <w:pPr>
              <w:pStyle w:val="Tabletext"/>
            </w:pPr>
          </w:p>
          <w:p w14:paraId="144DCD2A" w14:textId="77777777" w:rsidR="00A413CC" w:rsidRPr="00B672CA" w:rsidRDefault="00A413CC" w:rsidP="00371C61">
            <w:pPr>
              <w:pStyle w:val="Tabletext"/>
            </w:pPr>
          </w:p>
          <w:p w14:paraId="07C47EEE" w14:textId="77777777" w:rsidR="00A413CC" w:rsidRPr="00B672CA" w:rsidRDefault="00A413CC" w:rsidP="00371C61">
            <w:pPr>
              <w:pStyle w:val="Tabletext"/>
            </w:pPr>
          </w:p>
          <w:p w14:paraId="18462C8E" w14:textId="77777777" w:rsidR="00A413CC" w:rsidRPr="00B672CA" w:rsidRDefault="00A413CC" w:rsidP="00371C61">
            <w:pPr>
              <w:pStyle w:val="Tabletext"/>
            </w:pPr>
          </w:p>
          <w:p w14:paraId="572810FC" w14:textId="77777777" w:rsidR="00A413CC" w:rsidRPr="00B672CA" w:rsidRDefault="00A413CC" w:rsidP="00371C61">
            <w:pPr>
              <w:pStyle w:val="Tabletext"/>
            </w:pPr>
          </w:p>
          <w:p w14:paraId="372085BD" w14:textId="77777777" w:rsidR="00A413CC" w:rsidRPr="00B672CA" w:rsidRDefault="00A413CC" w:rsidP="00371C61">
            <w:pPr>
              <w:pStyle w:val="Tabletext"/>
            </w:pPr>
          </w:p>
          <w:p w14:paraId="75B7769A" w14:textId="77777777" w:rsidR="00A413CC" w:rsidRPr="00B672CA" w:rsidRDefault="00A413CC" w:rsidP="00371C61">
            <w:pPr>
              <w:pStyle w:val="Tabletext"/>
            </w:pPr>
          </w:p>
          <w:p w14:paraId="1A4DF513" w14:textId="77777777" w:rsidR="00A413CC" w:rsidRPr="00B672CA" w:rsidRDefault="00A413CC" w:rsidP="00371C61">
            <w:pPr>
              <w:pStyle w:val="Tabletext"/>
            </w:pPr>
          </w:p>
          <w:p w14:paraId="3BBF8895" w14:textId="77777777" w:rsidR="00A413CC" w:rsidRPr="00B672CA" w:rsidRDefault="00A413CC" w:rsidP="00371C61">
            <w:pPr>
              <w:pStyle w:val="Tabletext"/>
            </w:pPr>
          </w:p>
          <w:p w14:paraId="3DE79C30" w14:textId="77777777" w:rsidR="00A413CC" w:rsidRPr="00B672CA" w:rsidRDefault="00A413CC" w:rsidP="00371C61">
            <w:pPr>
              <w:pStyle w:val="Tabletext"/>
            </w:pPr>
          </w:p>
          <w:p w14:paraId="795FB207" w14:textId="77777777" w:rsidR="00A413CC" w:rsidRPr="00B672CA" w:rsidRDefault="00A413CC" w:rsidP="00371C61">
            <w:pPr>
              <w:pStyle w:val="Tabletext"/>
            </w:pPr>
          </w:p>
          <w:p w14:paraId="673DB984" w14:textId="77777777" w:rsidR="00A413CC" w:rsidRPr="00B672CA" w:rsidRDefault="00A413CC" w:rsidP="00371C61">
            <w:pPr>
              <w:pStyle w:val="Tabletext"/>
            </w:pPr>
          </w:p>
          <w:p w14:paraId="4602EA46" w14:textId="77777777" w:rsidR="00A413CC" w:rsidRPr="00B672CA" w:rsidRDefault="00A413CC" w:rsidP="00371C61">
            <w:pPr>
              <w:pStyle w:val="Tabletext"/>
            </w:pPr>
          </w:p>
          <w:p w14:paraId="78E259CA" w14:textId="77777777" w:rsidR="00A413CC" w:rsidRPr="00B672CA" w:rsidRDefault="00A413CC" w:rsidP="00371C61">
            <w:pPr>
              <w:pStyle w:val="Tabletext"/>
            </w:pPr>
          </w:p>
          <w:p w14:paraId="1E9B9CD6" w14:textId="77777777" w:rsidR="00A413CC" w:rsidRPr="00B672CA" w:rsidRDefault="00A413CC" w:rsidP="00371C61">
            <w:pPr>
              <w:pStyle w:val="Tabletext"/>
            </w:pPr>
          </w:p>
          <w:p w14:paraId="52DC7A5C" w14:textId="77777777" w:rsidR="00A413CC" w:rsidRPr="00B672CA" w:rsidRDefault="00A413CC" w:rsidP="00371C61">
            <w:pPr>
              <w:pStyle w:val="Tabletext"/>
            </w:pPr>
          </w:p>
          <w:p w14:paraId="6F4EF33C" w14:textId="77777777" w:rsidR="00A413CC" w:rsidRPr="00B672CA" w:rsidRDefault="00A413CC" w:rsidP="00371C61">
            <w:pPr>
              <w:pStyle w:val="Tabletext"/>
            </w:pPr>
          </w:p>
          <w:p w14:paraId="42D64081" w14:textId="77777777" w:rsidR="00A413CC" w:rsidRPr="00B672CA" w:rsidRDefault="00A413CC" w:rsidP="00371C61">
            <w:pPr>
              <w:pStyle w:val="Tabletext"/>
            </w:pPr>
          </w:p>
          <w:p w14:paraId="30756A82" w14:textId="77777777" w:rsidR="00A413CC" w:rsidRPr="00B672CA" w:rsidRDefault="00A413CC" w:rsidP="00371C61">
            <w:pPr>
              <w:pStyle w:val="Tabletext"/>
            </w:pPr>
          </w:p>
          <w:p w14:paraId="2383C84F" w14:textId="77777777" w:rsidR="00A413CC" w:rsidRPr="00B672CA" w:rsidRDefault="00A413CC" w:rsidP="00371C61">
            <w:pPr>
              <w:pStyle w:val="Tabletext"/>
            </w:pPr>
          </w:p>
          <w:p w14:paraId="7C9F79C2" w14:textId="77777777" w:rsidR="00A413CC" w:rsidRPr="00B672CA" w:rsidRDefault="00A413CC" w:rsidP="00371C61">
            <w:pPr>
              <w:pStyle w:val="Tabletext"/>
            </w:pPr>
          </w:p>
          <w:p w14:paraId="1F87FC34" w14:textId="77777777" w:rsidR="00A413CC" w:rsidRPr="00B672CA" w:rsidRDefault="00A413CC" w:rsidP="00371C61">
            <w:pPr>
              <w:pStyle w:val="Tabletext"/>
            </w:pPr>
            <w:r w:rsidRPr="00B672CA">
              <w:t>d) See section A.1.3, description of Output 1.2.</w:t>
            </w:r>
          </w:p>
          <w:p w14:paraId="3EE30AAB" w14:textId="77777777" w:rsidR="00A413CC" w:rsidRPr="00B672CA" w:rsidRDefault="00A413CC" w:rsidP="00371C61">
            <w:pPr>
              <w:pStyle w:val="Tabletext"/>
            </w:pPr>
          </w:p>
          <w:p w14:paraId="271D094E" w14:textId="77777777" w:rsidR="00A413CC" w:rsidRPr="00B672CA" w:rsidRDefault="00A413CC" w:rsidP="00371C61">
            <w:pPr>
              <w:pStyle w:val="Tabletext"/>
            </w:pPr>
          </w:p>
          <w:p w14:paraId="1FFABE3E" w14:textId="77777777" w:rsidR="00A413CC" w:rsidRPr="00B672CA" w:rsidRDefault="00A413CC" w:rsidP="00371C61">
            <w:pPr>
              <w:pStyle w:val="Tabletext"/>
            </w:pPr>
          </w:p>
          <w:p w14:paraId="7161203F" w14:textId="77777777" w:rsidR="00A413CC" w:rsidRPr="00B672CA" w:rsidRDefault="00A413CC" w:rsidP="00371C61">
            <w:pPr>
              <w:pStyle w:val="Tabletext"/>
            </w:pPr>
          </w:p>
          <w:p w14:paraId="361EF4EB" w14:textId="77777777" w:rsidR="00A413CC" w:rsidRPr="00B672CA" w:rsidRDefault="00A413CC" w:rsidP="00371C61">
            <w:pPr>
              <w:pStyle w:val="Tabletext"/>
            </w:pPr>
          </w:p>
          <w:p w14:paraId="5CA6A1BA" w14:textId="77777777" w:rsidR="00A413CC" w:rsidRPr="00B672CA" w:rsidRDefault="00A413CC" w:rsidP="00371C61">
            <w:pPr>
              <w:pStyle w:val="Tabletext"/>
            </w:pPr>
          </w:p>
          <w:p w14:paraId="7F974BE9" w14:textId="77777777" w:rsidR="00A413CC" w:rsidRPr="00B672CA" w:rsidRDefault="00A413CC" w:rsidP="00371C61">
            <w:pPr>
              <w:pStyle w:val="Tabletext"/>
            </w:pPr>
          </w:p>
          <w:p w14:paraId="6A4826B3" w14:textId="77777777" w:rsidR="00A413CC" w:rsidRPr="00B672CA" w:rsidRDefault="00A413CC" w:rsidP="00371C61">
            <w:pPr>
              <w:pStyle w:val="Tabletext"/>
            </w:pPr>
          </w:p>
          <w:p w14:paraId="63038D4C" w14:textId="77777777" w:rsidR="005919F3" w:rsidRPr="00B672CA" w:rsidRDefault="005919F3" w:rsidP="00371C61">
            <w:pPr>
              <w:pStyle w:val="Tabletext"/>
            </w:pPr>
          </w:p>
          <w:p w14:paraId="1A507BFF" w14:textId="77777777" w:rsidR="005919F3" w:rsidRPr="00B672CA" w:rsidRDefault="005919F3" w:rsidP="00371C61">
            <w:pPr>
              <w:pStyle w:val="Tabletext"/>
            </w:pPr>
          </w:p>
          <w:p w14:paraId="1CB1A1E2" w14:textId="77777777" w:rsidR="005919F3" w:rsidRPr="00B672CA" w:rsidRDefault="005919F3" w:rsidP="00371C61">
            <w:pPr>
              <w:pStyle w:val="Tabletext"/>
            </w:pPr>
          </w:p>
          <w:p w14:paraId="659C1013" w14:textId="77777777" w:rsidR="005919F3" w:rsidRPr="00B672CA" w:rsidRDefault="005919F3" w:rsidP="00371C61">
            <w:pPr>
              <w:pStyle w:val="Tabletext"/>
            </w:pPr>
          </w:p>
          <w:p w14:paraId="2F2192DA" w14:textId="77777777" w:rsidR="005919F3" w:rsidRPr="00B672CA" w:rsidRDefault="005919F3" w:rsidP="00371C61">
            <w:pPr>
              <w:pStyle w:val="Tabletext"/>
            </w:pPr>
          </w:p>
          <w:p w14:paraId="360B88E4" w14:textId="77777777" w:rsidR="005919F3" w:rsidRPr="00B672CA" w:rsidRDefault="005919F3" w:rsidP="00371C61">
            <w:pPr>
              <w:pStyle w:val="Tabletext"/>
            </w:pPr>
          </w:p>
          <w:p w14:paraId="738F688B" w14:textId="77777777" w:rsidR="005919F3" w:rsidRPr="00B672CA" w:rsidRDefault="005919F3" w:rsidP="00371C61">
            <w:pPr>
              <w:pStyle w:val="Tabletext"/>
            </w:pPr>
          </w:p>
          <w:p w14:paraId="17531CE1" w14:textId="4EA2DE8D" w:rsidR="00A413CC" w:rsidRPr="00B672CA" w:rsidRDefault="00A413CC" w:rsidP="00371C61">
            <w:pPr>
              <w:pStyle w:val="Tabletext"/>
            </w:pPr>
            <w:r w:rsidRPr="00B672CA">
              <w:t>e) See part I, Table C for cofinancing amounts, and section A.3 for description of investors, co-investors, and beneficiaries/ clients.</w:t>
            </w:r>
          </w:p>
        </w:tc>
      </w:tr>
    </w:tbl>
    <w:p w14:paraId="6F22A641" w14:textId="4B7406F0" w:rsidR="00D25D40" w:rsidRPr="00B672CA" w:rsidRDefault="00D25D40" w:rsidP="00D25D40">
      <w:pPr>
        <w:spacing w:after="0" w:line="240" w:lineRule="auto"/>
        <w:rPr>
          <w:rFonts w:ascii="Times New Roman" w:eastAsia="Times New Roman" w:hAnsi="Times New Roman"/>
          <w:color w:val="000000"/>
        </w:rPr>
      </w:pPr>
    </w:p>
    <w:p w14:paraId="1F50F258" w14:textId="77777777" w:rsidR="00D25D40" w:rsidRPr="00B672CA" w:rsidRDefault="00D25D40" w:rsidP="00B37DAC">
      <w:pPr>
        <w:pStyle w:val="Annexpara"/>
      </w:pPr>
      <w:r w:rsidRPr="00B672CA">
        <w:t>No comments have been received as yet from GEF Agencies, GEF Council, and the Convention Secretariat.</w:t>
      </w:r>
    </w:p>
    <w:p w14:paraId="7F6DCEA4" w14:textId="77777777" w:rsidR="00D25D40" w:rsidRPr="00B672CA" w:rsidRDefault="00D25D40" w:rsidP="00B37DAC">
      <w:pPr>
        <w:pStyle w:val="Annexpara"/>
      </w:pPr>
      <w:r w:rsidRPr="00B672CA">
        <w:t>No comments are expected from STAP as this is a medium-size project.</w:t>
      </w:r>
    </w:p>
    <w:p w14:paraId="329D5E05" w14:textId="77777777" w:rsidR="00D25D40" w:rsidRPr="00B672CA" w:rsidRDefault="00D25D40" w:rsidP="00D25D40">
      <w:pPr>
        <w:spacing w:after="0" w:line="240" w:lineRule="auto"/>
        <w:rPr>
          <w:rFonts w:ascii="Times New Roman" w:eastAsia="Times New Roman" w:hAnsi="Times New Roman"/>
          <w:color w:val="000000"/>
        </w:rPr>
      </w:pPr>
    </w:p>
    <w:p w14:paraId="5A2CA3C8" w14:textId="77777777" w:rsidR="00D25D40" w:rsidRPr="00B672CA" w:rsidRDefault="00D25D40" w:rsidP="00D25D40">
      <w:pPr>
        <w:spacing w:after="0" w:line="240" w:lineRule="auto"/>
        <w:rPr>
          <w:rFonts w:ascii="Times New Roman" w:eastAsia="Times New Roman" w:hAnsi="Times New Roman"/>
        </w:rPr>
      </w:pPr>
    </w:p>
    <w:p w14:paraId="7D9411CF" w14:textId="77777777" w:rsidR="00D25D40" w:rsidRPr="00B672CA" w:rsidRDefault="00D25D40" w:rsidP="003339FD">
      <w:pPr>
        <w:pStyle w:val="Annexheading"/>
      </w:pPr>
      <w:r w:rsidRPr="00B672CA">
        <w:br w:type="page"/>
      </w:r>
      <w:bookmarkStart w:id="24" w:name="_Toc483303067"/>
      <w:r w:rsidRPr="00B672CA">
        <w:t>Annex C:</w:t>
      </w:r>
      <w:r w:rsidRPr="00B672CA">
        <w:tab/>
        <w:t>Status of Implementation of Project Preparation Activities and the Use of Funds</w:t>
      </w:r>
      <w:r w:rsidRPr="00B672CA">
        <w:rPr>
          <w:rStyle w:val="FootnoteReference"/>
          <w:b w:val="0"/>
          <w:smallCaps w:val="0"/>
        </w:rPr>
        <w:footnoteReference w:id="46"/>
      </w:r>
      <w:bookmarkEnd w:id="24"/>
    </w:p>
    <w:p w14:paraId="347C3074" w14:textId="77777777" w:rsidR="00D25D40" w:rsidRPr="00B672CA" w:rsidRDefault="00D25D40" w:rsidP="00D25D40">
      <w:pPr>
        <w:spacing w:after="0" w:line="240" w:lineRule="auto"/>
        <w:rPr>
          <w:rFonts w:ascii="Times New Roman" w:eastAsia="Times New Roman" w:hAnsi="Times New Roman"/>
          <w:b/>
          <w:smallCaps/>
          <w:color w:val="000000"/>
        </w:rPr>
      </w:pPr>
    </w:p>
    <w:p w14:paraId="1B5BAE88" w14:textId="77777777" w:rsidR="00D25D40" w:rsidRPr="00B672CA" w:rsidRDefault="00D25D40" w:rsidP="00D25D40">
      <w:pPr>
        <w:numPr>
          <w:ilvl w:val="0"/>
          <w:numId w:val="31"/>
        </w:numPr>
        <w:spacing w:after="120" w:line="240" w:lineRule="auto"/>
        <w:rPr>
          <w:rFonts w:ascii="Times New Roman" w:eastAsia="Times New Roman" w:hAnsi="Times New Roman"/>
          <w:smallCaps/>
          <w:color w:val="000000"/>
        </w:rPr>
      </w:pPr>
      <w:r w:rsidRPr="00B672CA">
        <w:rPr>
          <w:rFonts w:ascii="Times New Roman" w:eastAsia="Times New Roman" w:hAnsi="Times New Roman"/>
          <w:color w:val="000000"/>
        </w:rPr>
        <w:t>Provide detailed funding amount of the PPG activities financing status in the table below</w:t>
      </w:r>
      <w:r w:rsidRPr="00B672CA">
        <w:rPr>
          <w:rFonts w:ascii="Times New Roman" w:eastAsia="Times New Roman" w:hAnsi="Times New Roman"/>
          <w:smallCaps/>
          <w:color w:val="000000"/>
        </w:rPr>
        <w:t>:</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D25D40" w:rsidRPr="00B672CA" w14:paraId="5B65F43B" w14:textId="77777777" w:rsidTr="00696322">
        <w:trPr>
          <w:trHeight w:val="233"/>
        </w:trPr>
        <w:tc>
          <w:tcPr>
            <w:tcW w:w="9900" w:type="dxa"/>
            <w:gridSpan w:val="4"/>
          </w:tcPr>
          <w:p w14:paraId="27434976" w14:textId="77777777" w:rsidR="00D25D40" w:rsidRPr="00B672CA" w:rsidRDefault="00D25D40" w:rsidP="00696322">
            <w:pPr>
              <w:spacing w:after="0" w:line="240" w:lineRule="auto"/>
              <w:rPr>
                <w:rFonts w:ascii="Times New Roman" w:eastAsia="Times New Roman" w:hAnsi="Times New Roman"/>
                <w:color w:val="000000"/>
              </w:rPr>
            </w:pPr>
            <w:r w:rsidRPr="00B672CA">
              <w:rPr>
                <w:rFonts w:ascii="Times New Roman" w:eastAsia="Times New Roman" w:hAnsi="Times New Roman"/>
                <w:color w:val="000000"/>
              </w:rPr>
              <w:t xml:space="preserve">PPG Grant Approved at PIF:  </w:t>
            </w:r>
          </w:p>
        </w:tc>
      </w:tr>
      <w:tr w:rsidR="00D25D40" w:rsidRPr="00B672CA" w14:paraId="40B56345" w14:textId="77777777" w:rsidTr="00696322">
        <w:trPr>
          <w:trHeight w:val="233"/>
        </w:trPr>
        <w:tc>
          <w:tcPr>
            <w:tcW w:w="4500" w:type="dxa"/>
            <w:vMerge w:val="restart"/>
            <w:vAlign w:val="center"/>
          </w:tcPr>
          <w:p w14:paraId="71575665" w14:textId="77777777" w:rsidR="00D25D40" w:rsidRPr="00B672CA" w:rsidRDefault="00D25D40" w:rsidP="00696322">
            <w:pPr>
              <w:spacing w:after="0" w:line="240" w:lineRule="auto"/>
              <w:jc w:val="center"/>
              <w:rPr>
                <w:rFonts w:ascii="Times New Roman" w:eastAsia="Times New Roman" w:hAnsi="Times New Roman"/>
                <w:b/>
                <w:color w:val="000000"/>
              </w:rPr>
            </w:pPr>
            <w:r w:rsidRPr="00B672CA">
              <w:rPr>
                <w:rFonts w:ascii="Times New Roman" w:eastAsia="Times New Roman" w:hAnsi="Times New Roman"/>
                <w:b/>
                <w:i/>
                <w:color w:val="000000"/>
              </w:rPr>
              <w:t>Project Preparation Activities Implemented</w:t>
            </w:r>
          </w:p>
        </w:tc>
        <w:tc>
          <w:tcPr>
            <w:tcW w:w="5400" w:type="dxa"/>
            <w:gridSpan w:val="3"/>
          </w:tcPr>
          <w:p w14:paraId="3E9A4E29" w14:textId="77777777" w:rsidR="00D25D40" w:rsidRPr="00B672CA" w:rsidRDefault="00D25D40" w:rsidP="00696322">
            <w:pPr>
              <w:spacing w:after="0" w:line="240" w:lineRule="auto"/>
              <w:jc w:val="center"/>
              <w:rPr>
                <w:rFonts w:ascii="Times New Roman" w:eastAsia="Times New Roman" w:hAnsi="Times New Roman"/>
                <w:b/>
                <w:i/>
                <w:color w:val="000000"/>
              </w:rPr>
            </w:pPr>
            <w:r w:rsidRPr="00B672CA">
              <w:rPr>
                <w:rFonts w:ascii="Times New Roman" w:eastAsia="Times New Roman" w:hAnsi="Times New Roman"/>
                <w:b/>
                <w:i/>
                <w:color w:val="000000"/>
              </w:rPr>
              <w:t>GETF/LDCF/SCCF/CBIT Amount ($)</w:t>
            </w:r>
          </w:p>
        </w:tc>
      </w:tr>
      <w:tr w:rsidR="00D25D40" w:rsidRPr="00B672CA" w14:paraId="20C1EAA5" w14:textId="77777777" w:rsidTr="00696322">
        <w:trPr>
          <w:trHeight w:val="232"/>
        </w:trPr>
        <w:tc>
          <w:tcPr>
            <w:tcW w:w="4500" w:type="dxa"/>
            <w:vMerge/>
          </w:tcPr>
          <w:p w14:paraId="09AE28E2" w14:textId="77777777" w:rsidR="00D25D40" w:rsidRPr="00B672CA" w:rsidRDefault="00D25D40" w:rsidP="00696322">
            <w:pPr>
              <w:spacing w:after="0" w:line="240" w:lineRule="auto"/>
              <w:jc w:val="center"/>
              <w:rPr>
                <w:rFonts w:ascii="Times New Roman" w:eastAsia="Times New Roman" w:hAnsi="Times New Roman"/>
                <w:b/>
                <w:color w:val="000000"/>
              </w:rPr>
            </w:pPr>
          </w:p>
        </w:tc>
        <w:tc>
          <w:tcPr>
            <w:tcW w:w="1620" w:type="dxa"/>
          </w:tcPr>
          <w:p w14:paraId="79631F45" w14:textId="77777777" w:rsidR="00D25D40" w:rsidRPr="00B672CA" w:rsidRDefault="00D25D40" w:rsidP="00696322">
            <w:pPr>
              <w:spacing w:after="0" w:line="240" w:lineRule="auto"/>
              <w:jc w:val="center"/>
              <w:rPr>
                <w:rFonts w:ascii="Times New Roman" w:eastAsia="Times New Roman" w:hAnsi="Times New Roman"/>
                <w:b/>
                <w:i/>
                <w:color w:val="000000"/>
              </w:rPr>
            </w:pPr>
            <w:r w:rsidRPr="00B672CA">
              <w:rPr>
                <w:rFonts w:ascii="Times New Roman" w:eastAsia="Times New Roman" w:hAnsi="Times New Roman"/>
                <w:b/>
                <w:i/>
                <w:color w:val="000000"/>
              </w:rPr>
              <w:t>Budgeted Amount</w:t>
            </w:r>
          </w:p>
        </w:tc>
        <w:tc>
          <w:tcPr>
            <w:tcW w:w="1890" w:type="dxa"/>
          </w:tcPr>
          <w:p w14:paraId="6AB38A9B" w14:textId="77777777" w:rsidR="00D25D40" w:rsidRPr="00B672CA" w:rsidRDefault="00D25D40" w:rsidP="00696322">
            <w:pPr>
              <w:spacing w:after="0" w:line="240" w:lineRule="auto"/>
              <w:jc w:val="center"/>
              <w:rPr>
                <w:rFonts w:ascii="Times New Roman" w:eastAsia="Times New Roman" w:hAnsi="Times New Roman"/>
                <w:i/>
                <w:color w:val="000000"/>
              </w:rPr>
            </w:pPr>
            <w:r w:rsidRPr="00B672CA">
              <w:rPr>
                <w:rFonts w:ascii="Times New Roman" w:eastAsia="Times New Roman" w:hAnsi="Times New Roman"/>
                <w:b/>
                <w:i/>
                <w:color w:val="000000"/>
              </w:rPr>
              <w:t>Amount Spent To Date</w:t>
            </w:r>
          </w:p>
        </w:tc>
        <w:tc>
          <w:tcPr>
            <w:tcW w:w="1890" w:type="dxa"/>
            <w:shd w:val="clear" w:color="auto" w:fill="auto"/>
          </w:tcPr>
          <w:p w14:paraId="04D955EC" w14:textId="77777777" w:rsidR="00D25D40" w:rsidRPr="00B672CA" w:rsidRDefault="00D25D40" w:rsidP="00696322">
            <w:pPr>
              <w:spacing w:after="0" w:line="240" w:lineRule="auto"/>
              <w:jc w:val="center"/>
              <w:rPr>
                <w:rFonts w:ascii="Times New Roman" w:eastAsia="Times New Roman" w:hAnsi="Times New Roman"/>
                <w:i/>
                <w:color w:val="000000"/>
              </w:rPr>
            </w:pPr>
            <w:r w:rsidRPr="00B672CA">
              <w:rPr>
                <w:rFonts w:ascii="Times New Roman" w:eastAsia="Times New Roman" w:hAnsi="Times New Roman"/>
                <w:b/>
                <w:i/>
                <w:color w:val="000000"/>
              </w:rPr>
              <w:t>Amount Committed</w:t>
            </w:r>
          </w:p>
        </w:tc>
      </w:tr>
      <w:tr w:rsidR="00457ED2" w:rsidRPr="00B672CA" w14:paraId="65247EE9" w14:textId="77777777" w:rsidTr="00696322">
        <w:tc>
          <w:tcPr>
            <w:tcW w:w="4500" w:type="dxa"/>
          </w:tcPr>
          <w:p w14:paraId="4A53805A" w14:textId="175E01A4" w:rsidR="00457ED2" w:rsidRPr="00B672CA" w:rsidRDefault="00457ED2" w:rsidP="00457ED2">
            <w:pPr>
              <w:spacing w:after="0" w:line="240" w:lineRule="auto"/>
              <w:rPr>
                <w:rFonts w:ascii="Times New Roman" w:eastAsia="Times New Roman" w:hAnsi="Times New Roman"/>
                <w:b/>
                <w:color w:val="000000"/>
                <w:u w:val="single"/>
              </w:rPr>
            </w:pPr>
            <w:bookmarkStart w:id="25" w:name="ApprovedActivity_01"/>
            <w:r w:rsidRPr="00B672CA">
              <w:rPr>
                <w:rFonts w:ascii="Times New Roman" w:eastAsia="Times New Roman" w:hAnsi="Times New Roman"/>
                <w:color w:val="000000"/>
              </w:rPr>
              <w:t xml:space="preserve">Undertake consultations and assessments as foreseen in the PIF, through desk/field studies and stakeholder involvement  </w:t>
            </w:r>
          </w:p>
        </w:tc>
        <w:bookmarkEnd w:id="25"/>
        <w:tc>
          <w:tcPr>
            <w:tcW w:w="1620" w:type="dxa"/>
          </w:tcPr>
          <w:p w14:paraId="006FD052" w14:textId="2487DAF8"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20,000</w:t>
            </w:r>
          </w:p>
        </w:tc>
        <w:tc>
          <w:tcPr>
            <w:tcW w:w="1890" w:type="dxa"/>
          </w:tcPr>
          <w:p w14:paraId="5C97822D" w14:textId="582D5D93"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20,000</w:t>
            </w:r>
          </w:p>
        </w:tc>
        <w:tc>
          <w:tcPr>
            <w:tcW w:w="1890" w:type="dxa"/>
            <w:shd w:val="clear" w:color="auto" w:fill="auto"/>
          </w:tcPr>
          <w:p w14:paraId="3B69CE84" w14:textId="77777777" w:rsidR="00457ED2" w:rsidRPr="00B672CA" w:rsidRDefault="00457ED2" w:rsidP="00457ED2">
            <w:pPr>
              <w:spacing w:after="0" w:line="240" w:lineRule="auto"/>
              <w:jc w:val="right"/>
              <w:rPr>
                <w:rFonts w:ascii="Times New Roman" w:eastAsia="Times New Roman" w:hAnsi="Times New Roman"/>
                <w:color w:val="000000"/>
              </w:rPr>
            </w:pPr>
          </w:p>
        </w:tc>
      </w:tr>
      <w:tr w:rsidR="00457ED2" w:rsidRPr="00B672CA" w14:paraId="1D07A3EC" w14:textId="77777777" w:rsidTr="00696322">
        <w:tc>
          <w:tcPr>
            <w:tcW w:w="4500" w:type="dxa"/>
          </w:tcPr>
          <w:p w14:paraId="44258C22" w14:textId="0C71B956" w:rsidR="00457ED2" w:rsidRPr="00B672CA" w:rsidRDefault="00457ED2" w:rsidP="00457ED2">
            <w:pPr>
              <w:spacing w:after="0" w:line="240" w:lineRule="auto"/>
              <w:rPr>
                <w:rFonts w:ascii="Times New Roman" w:eastAsia="Times New Roman" w:hAnsi="Times New Roman"/>
                <w:color w:val="000000"/>
              </w:rPr>
            </w:pPr>
            <w:bookmarkStart w:id="26" w:name="ApprovedActivity_02"/>
            <w:r w:rsidRPr="00B672CA">
              <w:rPr>
                <w:rFonts w:ascii="Times New Roman" w:eastAsia="Times New Roman" w:hAnsi="Times New Roman"/>
                <w:color w:val="000000"/>
              </w:rPr>
              <w:t>Development of first draft of project documented in UNEP format</w:t>
            </w:r>
          </w:p>
        </w:tc>
        <w:bookmarkEnd w:id="26"/>
        <w:tc>
          <w:tcPr>
            <w:tcW w:w="1620" w:type="dxa"/>
          </w:tcPr>
          <w:p w14:paraId="6F7DC5DF" w14:textId="06908126"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c>
          <w:tcPr>
            <w:tcW w:w="1890" w:type="dxa"/>
          </w:tcPr>
          <w:p w14:paraId="471CEDD4" w14:textId="23F316CD"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c>
          <w:tcPr>
            <w:tcW w:w="1890" w:type="dxa"/>
            <w:shd w:val="clear" w:color="auto" w:fill="auto"/>
          </w:tcPr>
          <w:p w14:paraId="3BDCB48F" w14:textId="77777777" w:rsidR="00457ED2" w:rsidRPr="00B672CA" w:rsidRDefault="00457ED2" w:rsidP="00457ED2">
            <w:pPr>
              <w:spacing w:after="0" w:line="240" w:lineRule="auto"/>
              <w:jc w:val="right"/>
              <w:rPr>
                <w:rFonts w:ascii="Times New Roman" w:eastAsia="Times New Roman" w:hAnsi="Times New Roman"/>
                <w:color w:val="000000"/>
              </w:rPr>
            </w:pPr>
          </w:p>
        </w:tc>
      </w:tr>
      <w:tr w:rsidR="00457ED2" w:rsidRPr="00B672CA" w14:paraId="3AF8E5D6" w14:textId="77777777" w:rsidTr="00696322">
        <w:tc>
          <w:tcPr>
            <w:tcW w:w="4500" w:type="dxa"/>
          </w:tcPr>
          <w:p w14:paraId="492863A2" w14:textId="713EBA80" w:rsidR="00457ED2" w:rsidRPr="00B672CA" w:rsidRDefault="00457ED2" w:rsidP="00457ED2">
            <w:pPr>
              <w:spacing w:after="0" w:line="240" w:lineRule="auto"/>
              <w:rPr>
                <w:rFonts w:ascii="Times New Roman" w:eastAsia="Times New Roman" w:hAnsi="Times New Roman"/>
                <w:color w:val="000000"/>
              </w:rPr>
            </w:pPr>
            <w:bookmarkStart w:id="27" w:name="ApprovedActivity_03"/>
            <w:r w:rsidRPr="00B672CA">
              <w:rPr>
                <w:rFonts w:ascii="Times New Roman" w:eastAsia="Times New Roman" w:hAnsi="Times New Roman"/>
                <w:color w:val="000000"/>
              </w:rPr>
              <w:t xml:space="preserve">Organize missions to pilot countries for consultative meetings with relevant national and international stakeholders </w:t>
            </w:r>
          </w:p>
        </w:tc>
        <w:bookmarkEnd w:id="27"/>
        <w:tc>
          <w:tcPr>
            <w:tcW w:w="1620" w:type="dxa"/>
          </w:tcPr>
          <w:p w14:paraId="2D8321F5" w14:textId="194C5DAF"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c>
          <w:tcPr>
            <w:tcW w:w="1890" w:type="dxa"/>
          </w:tcPr>
          <w:p w14:paraId="1ABA8142" w14:textId="081BF231" w:rsidR="00457ED2" w:rsidRPr="00B672CA" w:rsidRDefault="00457ED2" w:rsidP="00457ED2">
            <w:pPr>
              <w:spacing w:after="0" w:line="240" w:lineRule="auto"/>
              <w:jc w:val="right"/>
              <w:rPr>
                <w:rFonts w:ascii="Times New Roman" w:eastAsia="Times New Roman" w:hAnsi="Times New Roman"/>
                <w:color w:val="000000"/>
              </w:rPr>
            </w:pPr>
          </w:p>
        </w:tc>
        <w:tc>
          <w:tcPr>
            <w:tcW w:w="1890" w:type="dxa"/>
            <w:shd w:val="clear" w:color="auto" w:fill="auto"/>
          </w:tcPr>
          <w:p w14:paraId="7FFD7EDD" w14:textId="2EB442C8"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r>
      <w:tr w:rsidR="00457ED2" w:rsidRPr="00B672CA" w14:paraId="655AD469" w14:textId="77777777" w:rsidTr="00696322">
        <w:tc>
          <w:tcPr>
            <w:tcW w:w="4500" w:type="dxa"/>
          </w:tcPr>
          <w:p w14:paraId="79961ED3" w14:textId="03BC2AD1" w:rsidR="00457ED2" w:rsidRPr="00B672CA" w:rsidRDefault="00457ED2" w:rsidP="00457ED2">
            <w:pPr>
              <w:spacing w:after="0" w:line="240" w:lineRule="auto"/>
              <w:rPr>
                <w:rFonts w:ascii="Times New Roman" w:eastAsia="Times New Roman" w:hAnsi="Times New Roman"/>
                <w:color w:val="000000"/>
              </w:rPr>
            </w:pPr>
            <w:bookmarkStart w:id="28" w:name="ApprovedActivity_04"/>
            <w:r w:rsidRPr="00B672CA">
              <w:rPr>
                <w:rFonts w:ascii="Times New Roman" w:eastAsia="Times New Roman" w:hAnsi="Times New Roman"/>
                <w:color w:val="000000"/>
              </w:rPr>
              <w:t>Further development and finalization of the full project document</w:t>
            </w:r>
          </w:p>
        </w:tc>
        <w:bookmarkEnd w:id="28"/>
        <w:tc>
          <w:tcPr>
            <w:tcW w:w="1620" w:type="dxa"/>
          </w:tcPr>
          <w:p w14:paraId="0F298DED" w14:textId="3EE24AA5"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c>
          <w:tcPr>
            <w:tcW w:w="1890" w:type="dxa"/>
          </w:tcPr>
          <w:p w14:paraId="48366795" w14:textId="713BBBCF" w:rsidR="00457ED2" w:rsidRPr="00B672CA" w:rsidRDefault="00457ED2" w:rsidP="00457ED2">
            <w:pPr>
              <w:spacing w:after="0" w:line="240" w:lineRule="auto"/>
              <w:jc w:val="right"/>
              <w:rPr>
                <w:rFonts w:ascii="Times New Roman" w:eastAsia="Times New Roman" w:hAnsi="Times New Roman"/>
                <w:color w:val="000000"/>
              </w:rPr>
            </w:pPr>
          </w:p>
        </w:tc>
        <w:tc>
          <w:tcPr>
            <w:tcW w:w="1890" w:type="dxa"/>
            <w:shd w:val="clear" w:color="auto" w:fill="auto"/>
          </w:tcPr>
          <w:p w14:paraId="6A309897" w14:textId="7923DB2B" w:rsidR="00457ED2" w:rsidRPr="00B672CA" w:rsidRDefault="00457ED2" w:rsidP="00457ED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10,000</w:t>
            </w:r>
          </w:p>
        </w:tc>
      </w:tr>
      <w:tr w:rsidR="00D25D40" w:rsidRPr="00B672CA" w14:paraId="5BF7CB3A" w14:textId="77777777" w:rsidTr="00696322">
        <w:tc>
          <w:tcPr>
            <w:tcW w:w="4500" w:type="dxa"/>
            <w:tcBorders>
              <w:top w:val="double" w:sz="4" w:space="0" w:color="auto"/>
            </w:tcBorders>
          </w:tcPr>
          <w:p w14:paraId="197F469A" w14:textId="77777777" w:rsidR="00D25D40" w:rsidRPr="00B672CA" w:rsidRDefault="00D25D40" w:rsidP="00696322">
            <w:pPr>
              <w:spacing w:after="0" w:line="240" w:lineRule="auto"/>
              <w:rPr>
                <w:rFonts w:ascii="Times New Roman" w:eastAsia="Times New Roman" w:hAnsi="Times New Roman"/>
                <w:b/>
                <w:color w:val="000000"/>
              </w:rPr>
            </w:pPr>
            <w:r w:rsidRPr="00B672CA">
              <w:rPr>
                <w:rFonts w:ascii="Times New Roman" w:eastAsia="Times New Roman" w:hAnsi="Times New Roman"/>
                <w:b/>
                <w:color w:val="000000"/>
              </w:rPr>
              <w:t>Total</w:t>
            </w:r>
          </w:p>
        </w:tc>
        <w:tc>
          <w:tcPr>
            <w:tcW w:w="1620" w:type="dxa"/>
            <w:tcBorders>
              <w:top w:val="double" w:sz="4" w:space="0" w:color="auto"/>
            </w:tcBorders>
          </w:tcPr>
          <w:p w14:paraId="42C448D4" w14:textId="3D87037F" w:rsidR="00D25D40" w:rsidRPr="00B672CA" w:rsidRDefault="00457ED2" w:rsidP="00457ED2">
            <w:pPr>
              <w:spacing w:after="0" w:line="240" w:lineRule="auto"/>
              <w:jc w:val="right"/>
              <w:rPr>
                <w:rFonts w:ascii="Times New Roman" w:eastAsia="Times New Roman" w:hAnsi="Times New Roman"/>
                <w:b/>
                <w:color w:val="000000"/>
                <w:u w:val="single"/>
              </w:rPr>
            </w:pPr>
            <w:bookmarkStart w:id="29" w:name="BA_Total"/>
            <w:r w:rsidRPr="00B672CA">
              <w:rPr>
                <w:rFonts w:ascii="Times New Roman" w:eastAsia="Times New Roman" w:hAnsi="Times New Roman"/>
                <w:color w:val="000000"/>
              </w:rPr>
              <w:t>50,000</w:t>
            </w:r>
            <w:bookmarkEnd w:id="29"/>
          </w:p>
        </w:tc>
        <w:tc>
          <w:tcPr>
            <w:tcW w:w="1890" w:type="dxa"/>
            <w:tcBorders>
              <w:top w:val="double" w:sz="4" w:space="0" w:color="auto"/>
            </w:tcBorders>
          </w:tcPr>
          <w:p w14:paraId="7F2AC068" w14:textId="7F9E0077" w:rsidR="00D25D40" w:rsidRPr="00B672CA" w:rsidRDefault="00457ED2" w:rsidP="00696322">
            <w:pPr>
              <w:spacing w:after="0" w:line="240" w:lineRule="auto"/>
              <w:jc w:val="right"/>
              <w:rPr>
                <w:rFonts w:ascii="Times New Roman" w:eastAsia="Times New Roman" w:hAnsi="Times New Roman"/>
                <w:b/>
                <w:color w:val="000000"/>
                <w:u w:val="single"/>
              </w:rPr>
            </w:pPr>
            <w:r w:rsidRPr="00B672CA">
              <w:rPr>
                <w:rFonts w:ascii="Times New Roman" w:eastAsia="Times New Roman" w:hAnsi="Times New Roman"/>
                <w:color w:val="000000"/>
              </w:rPr>
              <w:t>30,000</w:t>
            </w:r>
          </w:p>
        </w:tc>
        <w:tc>
          <w:tcPr>
            <w:tcW w:w="1890" w:type="dxa"/>
            <w:tcBorders>
              <w:top w:val="double" w:sz="4" w:space="0" w:color="auto"/>
            </w:tcBorders>
            <w:shd w:val="clear" w:color="auto" w:fill="auto"/>
          </w:tcPr>
          <w:p w14:paraId="26245C5B" w14:textId="6B84D38F" w:rsidR="00D25D40" w:rsidRPr="00B672CA" w:rsidRDefault="00457ED2" w:rsidP="00696322">
            <w:pPr>
              <w:spacing w:after="0" w:line="240" w:lineRule="auto"/>
              <w:jc w:val="right"/>
              <w:rPr>
                <w:rFonts w:ascii="Times New Roman" w:eastAsia="Times New Roman" w:hAnsi="Times New Roman"/>
                <w:color w:val="000000"/>
              </w:rPr>
            </w:pPr>
            <w:r w:rsidRPr="00B672CA">
              <w:rPr>
                <w:rFonts w:ascii="Times New Roman" w:eastAsia="Times New Roman" w:hAnsi="Times New Roman"/>
                <w:color w:val="000000"/>
              </w:rPr>
              <w:t>20,000</w:t>
            </w:r>
          </w:p>
        </w:tc>
      </w:tr>
    </w:tbl>
    <w:p w14:paraId="4C3C4470" w14:textId="77777777" w:rsidR="00D25D40" w:rsidRPr="00B672CA" w:rsidRDefault="00D25D40" w:rsidP="00D25D40">
      <w:pPr>
        <w:spacing w:after="0" w:line="240" w:lineRule="auto"/>
        <w:rPr>
          <w:rFonts w:ascii="Times New Roman" w:eastAsia="Times New Roman" w:hAnsi="Times New Roman"/>
          <w:color w:val="000000"/>
          <w:sz w:val="18"/>
          <w:szCs w:val="18"/>
        </w:rPr>
      </w:pPr>
    </w:p>
    <w:p w14:paraId="3F1A6AC2" w14:textId="77777777" w:rsidR="00D25D40" w:rsidRPr="00B672CA" w:rsidRDefault="00D25D40" w:rsidP="003339FD">
      <w:pPr>
        <w:pStyle w:val="Annexheading"/>
      </w:pPr>
      <w:r w:rsidRPr="00B672CA">
        <w:br w:type="page"/>
      </w:r>
      <w:bookmarkStart w:id="30" w:name="_Toc483303068"/>
      <w:r w:rsidRPr="00B672CA">
        <w:t>Annex D:</w:t>
      </w:r>
      <w:r w:rsidRPr="00B672CA">
        <w:tab/>
        <w:t>Calendar of Expected Reflows</w:t>
      </w:r>
      <w:bookmarkEnd w:id="30"/>
    </w:p>
    <w:p w14:paraId="5A2F0C06" w14:textId="2C9EA50B" w:rsidR="00162673" w:rsidRPr="00B672CA" w:rsidRDefault="00162673" w:rsidP="00B37DAC">
      <w:pPr>
        <w:pStyle w:val="Annexpara"/>
      </w:pPr>
      <w:r w:rsidRPr="00B672CA">
        <w:t>The expected schedule for reflow of funds to the GEF is shown in the following table and assumes the following: tenor of 20 years; grace period – n/a; annual principal payment – n/a; yield – 1%; IRR</w:t>
      </w:r>
      <w:r w:rsidR="006B0DFA" w:rsidRPr="00B672CA">
        <w:t xml:space="preserve"> – 1%).</w:t>
      </w:r>
    </w:p>
    <w:tbl>
      <w:tblPr>
        <w:tblW w:w="8290" w:type="dxa"/>
        <w:tblInd w:w="198" w:type="dxa"/>
        <w:tblLook w:val="04A0" w:firstRow="1" w:lastRow="0" w:firstColumn="1" w:lastColumn="0" w:noHBand="0" w:noVBand="1"/>
      </w:tblPr>
      <w:tblGrid>
        <w:gridCol w:w="783"/>
        <w:gridCol w:w="1120"/>
        <w:gridCol w:w="1172"/>
        <w:gridCol w:w="1720"/>
        <w:gridCol w:w="1415"/>
        <w:gridCol w:w="2080"/>
      </w:tblGrid>
      <w:tr w:rsidR="00162673" w:rsidRPr="00B672CA" w14:paraId="62433B8C" w14:textId="77777777" w:rsidTr="006B0DFA">
        <w:trPr>
          <w:trHeight w:val="300"/>
        </w:trPr>
        <w:tc>
          <w:tcPr>
            <w:tcW w:w="7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ED1F17"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Period</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78CE982F"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Year</w:t>
            </w:r>
            <w:r w:rsidRPr="00B672CA">
              <w:rPr>
                <w:rFonts w:ascii="Times New Roman" w:eastAsia="Times New Roman" w:hAnsi="Times New Roman"/>
                <w:sz w:val="16"/>
                <w:szCs w:val="16"/>
                <w:lang w:val="en-GB" w:eastAsia="en-GB"/>
              </w:rPr>
              <w:t> </w:t>
            </w:r>
          </w:p>
        </w:tc>
        <w:tc>
          <w:tcPr>
            <w:tcW w:w="1172" w:type="dxa"/>
            <w:tcBorders>
              <w:top w:val="single" w:sz="4" w:space="0" w:color="auto"/>
              <w:left w:val="nil"/>
              <w:bottom w:val="single" w:sz="4" w:space="0" w:color="auto"/>
              <w:right w:val="single" w:sz="4" w:space="0" w:color="auto"/>
            </w:tcBorders>
            <w:shd w:val="clear" w:color="auto" w:fill="auto"/>
            <w:noWrap/>
            <w:vAlign w:val="center"/>
            <w:hideMark/>
          </w:tcPr>
          <w:p w14:paraId="28B13352"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Investment</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310A882A"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Accrued Interest</w:t>
            </w:r>
          </w:p>
        </w:tc>
        <w:tc>
          <w:tcPr>
            <w:tcW w:w="1415" w:type="dxa"/>
            <w:tcBorders>
              <w:top w:val="single" w:sz="4" w:space="0" w:color="auto"/>
              <w:left w:val="nil"/>
              <w:bottom w:val="single" w:sz="4" w:space="0" w:color="auto"/>
              <w:right w:val="single" w:sz="4" w:space="0" w:color="auto"/>
            </w:tcBorders>
            <w:shd w:val="clear" w:color="auto" w:fill="auto"/>
            <w:noWrap/>
            <w:vAlign w:val="center"/>
            <w:hideMark/>
          </w:tcPr>
          <w:p w14:paraId="7C166FA6"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Reflow</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14:paraId="03C61C95"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Balance owed to GEF</w:t>
            </w:r>
          </w:p>
        </w:tc>
      </w:tr>
      <w:tr w:rsidR="00162673" w:rsidRPr="00B672CA" w14:paraId="49A441DC"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4850454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1120" w:type="dxa"/>
            <w:tcBorders>
              <w:top w:val="nil"/>
              <w:left w:val="nil"/>
              <w:bottom w:val="single" w:sz="4" w:space="0" w:color="auto"/>
              <w:right w:val="single" w:sz="4" w:space="0" w:color="auto"/>
            </w:tcBorders>
            <w:shd w:val="clear" w:color="auto" w:fill="auto"/>
            <w:noWrap/>
            <w:vAlign w:val="center"/>
            <w:hideMark/>
          </w:tcPr>
          <w:p w14:paraId="4A7E58F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2017</w:t>
            </w:r>
          </w:p>
        </w:tc>
        <w:tc>
          <w:tcPr>
            <w:tcW w:w="1172" w:type="dxa"/>
            <w:tcBorders>
              <w:top w:val="nil"/>
              <w:left w:val="nil"/>
              <w:bottom w:val="single" w:sz="4" w:space="0" w:color="auto"/>
              <w:right w:val="single" w:sz="4" w:space="0" w:color="auto"/>
            </w:tcBorders>
            <w:shd w:val="clear" w:color="auto" w:fill="auto"/>
            <w:noWrap/>
            <w:vAlign w:val="center"/>
            <w:hideMark/>
          </w:tcPr>
          <w:p w14:paraId="6C288B1E"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6A6DFA5A"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c>
          <w:tcPr>
            <w:tcW w:w="1415" w:type="dxa"/>
            <w:tcBorders>
              <w:top w:val="nil"/>
              <w:left w:val="nil"/>
              <w:bottom w:val="single" w:sz="4" w:space="0" w:color="auto"/>
              <w:right w:val="single" w:sz="4" w:space="0" w:color="auto"/>
            </w:tcBorders>
            <w:shd w:val="clear" w:color="auto" w:fill="auto"/>
            <w:noWrap/>
            <w:vAlign w:val="center"/>
            <w:hideMark/>
          </w:tcPr>
          <w:p w14:paraId="182A43A9"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c>
          <w:tcPr>
            <w:tcW w:w="2080" w:type="dxa"/>
            <w:tcBorders>
              <w:top w:val="nil"/>
              <w:left w:val="nil"/>
              <w:bottom w:val="single" w:sz="4" w:space="0" w:color="auto"/>
              <w:right w:val="single" w:sz="4" w:space="0" w:color="auto"/>
            </w:tcBorders>
            <w:shd w:val="clear" w:color="auto" w:fill="auto"/>
            <w:noWrap/>
            <w:vAlign w:val="center"/>
            <w:hideMark/>
          </w:tcPr>
          <w:p w14:paraId="287272A1"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r>
      <w:tr w:rsidR="00162673" w:rsidRPr="00B672CA" w14:paraId="5D379BAB"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3D7F77A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w:t>
            </w:r>
          </w:p>
        </w:tc>
        <w:tc>
          <w:tcPr>
            <w:tcW w:w="1120" w:type="dxa"/>
            <w:tcBorders>
              <w:top w:val="nil"/>
              <w:left w:val="nil"/>
              <w:bottom w:val="single" w:sz="4" w:space="0" w:color="auto"/>
              <w:right w:val="single" w:sz="4" w:space="0" w:color="auto"/>
            </w:tcBorders>
            <w:shd w:val="clear" w:color="auto" w:fill="auto"/>
            <w:noWrap/>
            <w:vAlign w:val="center"/>
            <w:hideMark/>
          </w:tcPr>
          <w:p w14:paraId="5E1F111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2018</w:t>
            </w:r>
          </w:p>
        </w:tc>
        <w:tc>
          <w:tcPr>
            <w:tcW w:w="1172" w:type="dxa"/>
            <w:tcBorders>
              <w:top w:val="nil"/>
              <w:left w:val="nil"/>
              <w:bottom w:val="single" w:sz="4" w:space="0" w:color="auto"/>
              <w:right w:val="single" w:sz="4" w:space="0" w:color="auto"/>
            </w:tcBorders>
            <w:shd w:val="clear" w:color="auto" w:fill="auto"/>
            <w:noWrap/>
            <w:vAlign w:val="center"/>
            <w:hideMark/>
          </w:tcPr>
          <w:p w14:paraId="68E0B3F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-2.000.000</w:t>
            </w:r>
          </w:p>
        </w:tc>
        <w:tc>
          <w:tcPr>
            <w:tcW w:w="1720" w:type="dxa"/>
            <w:tcBorders>
              <w:top w:val="nil"/>
              <w:left w:val="nil"/>
              <w:bottom w:val="single" w:sz="4" w:space="0" w:color="auto"/>
              <w:right w:val="single" w:sz="4" w:space="0" w:color="auto"/>
            </w:tcBorders>
            <w:shd w:val="clear" w:color="auto" w:fill="auto"/>
            <w:noWrap/>
            <w:vAlign w:val="center"/>
            <w:hideMark/>
          </w:tcPr>
          <w:p w14:paraId="0F65058B"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415" w:type="dxa"/>
            <w:tcBorders>
              <w:top w:val="nil"/>
              <w:left w:val="nil"/>
              <w:bottom w:val="single" w:sz="4" w:space="0" w:color="auto"/>
              <w:right w:val="single" w:sz="4" w:space="0" w:color="auto"/>
            </w:tcBorders>
            <w:shd w:val="clear" w:color="auto" w:fill="auto"/>
            <w:noWrap/>
            <w:vAlign w:val="center"/>
            <w:hideMark/>
          </w:tcPr>
          <w:p w14:paraId="31924DCF"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2080" w:type="dxa"/>
            <w:tcBorders>
              <w:top w:val="nil"/>
              <w:left w:val="nil"/>
              <w:bottom w:val="single" w:sz="4" w:space="0" w:color="auto"/>
              <w:right w:val="single" w:sz="4" w:space="0" w:color="auto"/>
            </w:tcBorders>
            <w:shd w:val="clear" w:color="auto" w:fill="auto"/>
            <w:noWrap/>
            <w:vAlign w:val="center"/>
            <w:hideMark/>
          </w:tcPr>
          <w:p w14:paraId="54BFCD6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2.000.000</w:t>
            </w:r>
          </w:p>
        </w:tc>
      </w:tr>
      <w:tr w:rsidR="00162673" w:rsidRPr="00B672CA" w14:paraId="66EF7B4A"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395BD24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w:t>
            </w:r>
          </w:p>
        </w:tc>
        <w:tc>
          <w:tcPr>
            <w:tcW w:w="1120" w:type="dxa"/>
            <w:tcBorders>
              <w:top w:val="nil"/>
              <w:left w:val="nil"/>
              <w:bottom w:val="single" w:sz="4" w:space="0" w:color="auto"/>
              <w:right w:val="single" w:sz="4" w:space="0" w:color="auto"/>
            </w:tcBorders>
            <w:shd w:val="clear" w:color="auto" w:fill="auto"/>
            <w:noWrap/>
            <w:vAlign w:val="center"/>
            <w:hideMark/>
          </w:tcPr>
          <w:p w14:paraId="129DC70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2019</w:t>
            </w:r>
          </w:p>
        </w:tc>
        <w:tc>
          <w:tcPr>
            <w:tcW w:w="1172" w:type="dxa"/>
            <w:tcBorders>
              <w:top w:val="nil"/>
              <w:left w:val="nil"/>
              <w:bottom w:val="single" w:sz="4" w:space="0" w:color="auto"/>
              <w:right w:val="single" w:sz="4" w:space="0" w:color="auto"/>
            </w:tcBorders>
            <w:shd w:val="clear" w:color="auto" w:fill="auto"/>
            <w:noWrap/>
            <w:vAlign w:val="center"/>
            <w:hideMark/>
          </w:tcPr>
          <w:p w14:paraId="49E83E77"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6DB1318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-20.000</w:t>
            </w:r>
          </w:p>
        </w:tc>
        <w:tc>
          <w:tcPr>
            <w:tcW w:w="1415" w:type="dxa"/>
            <w:tcBorders>
              <w:top w:val="nil"/>
              <w:left w:val="nil"/>
              <w:bottom w:val="single" w:sz="4" w:space="0" w:color="auto"/>
              <w:right w:val="single" w:sz="4" w:space="0" w:color="auto"/>
            </w:tcBorders>
            <w:shd w:val="clear" w:color="auto" w:fill="auto"/>
            <w:noWrap/>
            <w:vAlign w:val="center"/>
            <w:hideMark/>
          </w:tcPr>
          <w:p w14:paraId="41C6AB4A"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7DA61138"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2.020.000</w:t>
            </w:r>
          </w:p>
        </w:tc>
      </w:tr>
      <w:tr w:rsidR="00162673" w:rsidRPr="00B672CA" w14:paraId="4C7E13E8"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0C59C018"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3</w:t>
            </w:r>
          </w:p>
        </w:tc>
        <w:tc>
          <w:tcPr>
            <w:tcW w:w="1120" w:type="dxa"/>
            <w:tcBorders>
              <w:top w:val="nil"/>
              <w:left w:val="nil"/>
              <w:bottom w:val="single" w:sz="4" w:space="0" w:color="auto"/>
              <w:right w:val="single" w:sz="4" w:space="0" w:color="auto"/>
            </w:tcBorders>
            <w:shd w:val="clear" w:color="auto" w:fill="auto"/>
            <w:noWrap/>
            <w:vAlign w:val="center"/>
            <w:hideMark/>
          </w:tcPr>
          <w:p w14:paraId="6A2B1602"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2020</w:t>
            </w:r>
          </w:p>
        </w:tc>
        <w:tc>
          <w:tcPr>
            <w:tcW w:w="1172" w:type="dxa"/>
            <w:tcBorders>
              <w:top w:val="nil"/>
              <w:left w:val="nil"/>
              <w:bottom w:val="single" w:sz="4" w:space="0" w:color="auto"/>
              <w:right w:val="single" w:sz="4" w:space="0" w:color="auto"/>
            </w:tcBorders>
            <w:shd w:val="clear" w:color="auto" w:fill="auto"/>
            <w:noWrap/>
            <w:vAlign w:val="center"/>
            <w:hideMark/>
          </w:tcPr>
          <w:p w14:paraId="11F83AE6"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7AF839C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-20.200</w:t>
            </w:r>
          </w:p>
        </w:tc>
        <w:tc>
          <w:tcPr>
            <w:tcW w:w="1415" w:type="dxa"/>
            <w:tcBorders>
              <w:top w:val="nil"/>
              <w:left w:val="nil"/>
              <w:bottom w:val="single" w:sz="4" w:space="0" w:color="auto"/>
              <w:right w:val="single" w:sz="4" w:space="0" w:color="auto"/>
            </w:tcBorders>
            <w:shd w:val="clear" w:color="auto" w:fill="auto"/>
            <w:noWrap/>
            <w:vAlign w:val="center"/>
            <w:hideMark/>
          </w:tcPr>
          <w:p w14:paraId="1FCE932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52EF96E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2.040.200</w:t>
            </w:r>
          </w:p>
        </w:tc>
      </w:tr>
      <w:tr w:rsidR="00162673" w:rsidRPr="00B672CA" w14:paraId="65DFDDA6"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1BCE974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4</w:t>
            </w:r>
          </w:p>
        </w:tc>
        <w:tc>
          <w:tcPr>
            <w:tcW w:w="1120" w:type="dxa"/>
            <w:tcBorders>
              <w:top w:val="nil"/>
              <w:left w:val="nil"/>
              <w:bottom w:val="single" w:sz="4" w:space="0" w:color="auto"/>
              <w:right w:val="single" w:sz="4" w:space="0" w:color="auto"/>
            </w:tcBorders>
            <w:shd w:val="clear" w:color="auto" w:fill="auto"/>
            <w:noWrap/>
            <w:vAlign w:val="center"/>
            <w:hideMark/>
          </w:tcPr>
          <w:p w14:paraId="5F8D68A3"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2021</w:t>
            </w:r>
          </w:p>
        </w:tc>
        <w:tc>
          <w:tcPr>
            <w:tcW w:w="1172" w:type="dxa"/>
            <w:tcBorders>
              <w:top w:val="nil"/>
              <w:left w:val="nil"/>
              <w:bottom w:val="single" w:sz="4" w:space="0" w:color="auto"/>
              <w:right w:val="single" w:sz="4" w:space="0" w:color="auto"/>
            </w:tcBorders>
            <w:shd w:val="clear" w:color="auto" w:fill="auto"/>
            <w:noWrap/>
            <w:vAlign w:val="center"/>
            <w:hideMark/>
          </w:tcPr>
          <w:p w14:paraId="4EF40EC1"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03E6DE4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-20.402</w:t>
            </w:r>
          </w:p>
        </w:tc>
        <w:tc>
          <w:tcPr>
            <w:tcW w:w="1415" w:type="dxa"/>
            <w:tcBorders>
              <w:top w:val="nil"/>
              <w:left w:val="nil"/>
              <w:bottom w:val="single" w:sz="4" w:space="0" w:color="auto"/>
              <w:right w:val="single" w:sz="4" w:space="0" w:color="auto"/>
            </w:tcBorders>
            <w:shd w:val="clear" w:color="auto" w:fill="auto"/>
            <w:noWrap/>
            <w:vAlign w:val="center"/>
            <w:hideMark/>
          </w:tcPr>
          <w:p w14:paraId="4AEA0D4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100D361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2.060.602</w:t>
            </w:r>
          </w:p>
        </w:tc>
      </w:tr>
      <w:tr w:rsidR="00162673" w:rsidRPr="00B672CA" w14:paraId="5D33E51B"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5847215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5</w:t>
            </w:r>
          </w:p>
        </w:tc>
        <w:tc>
          <w:tcPr>
            <w:tcW w:w="1120" w:type="dxa"/>
            <w:tcBorders>
              <w:top w:val="nil"/>
              <w:left w:val="nil"/>
              <w:bottom w:val="single" w:sz="4" w:space="0" w:color="auto"/>
              <w:right w:val="single" w:sz="4" w:space="0" w:color="auto"/>
            </w:tcBorders>
            <w:shd w:val="clear" w:color="auto" w:fill="auto"/>
            <w:noWrap/>
            <w:vAlign w:val="center"/>
            <w:hideMark/>
          </w:tcPr>
          <w:p w14:paraId="3BD6DFF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2022</w:t>
            </w:r>
          </w:p>
        </w:tc>
        <w:tc>
          <w:tcPr>
            <w:tcW w:w="1172" w:type="dxa"/>
            <w:tcBorders>
              <w:top w:val="nil"/>
              <w:left w:val="nil"/>
              <w:bottom w:val="single" w:sz="4" w:space="0" w:color="auto"/>
              <w:right w:val="single" w:sz="4" w:space="0" w:color="auto"/>
            </w:tcBorders>
            <w:shd w:val="clear" w:color="auto" w:fill="auto"/>
            <w:noWrap/>
            <w:vAlign w:val="center"/>
            <w:hideMark/>
          </w:tcPr>
          <w:p w14:paraId="3D5C07DD"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0EA6750A"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-20.606</w:t>
            </w:r>
          </w:p>
        </w:tc>
        <w:tc>
          <w:tcPr>
            <w:tcW w:w="1415" w:type="dxa"/>
            <w:tcBorders>
              <w:top w:val="nil"/>
              <w:left w:val="nil"/>
              <w:bottom w:val="single" w:sz="4" w:space="0" w:color="auto"/>
              <w:right w:val="single" w:sz="4" w:space="0" w:color="auto"/>
            </w:tcBorders>
            <w:shd w:val="clear" w:color="auto" w:fill="auto"/>
            <w:noWrap/>
            <w:vAlign w:val="center"/>
            <w:hideMark/>
          </w:tcPr>
          <w:p w14:paraId="22E4CC9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3E8A5D8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2.081.208</w:t>
            </w:r>
          </w:p>
        </w:tc>
      </w:tr>
      <w:tr w:rsidR="00162673" w:rsidRPr="00B672CA" w14:paraId="5EB1214F"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2AE9127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6</w:t>
            </w:r>
          </w:p>
        </w:tc>
        <w:tc>
          <w:tcPr>
            <w:tcW w:w="1120" w:type="dxa"/>
            <w:tcBorders>
              <w:top w:val="nil"/>
              <w:left w:val="nil"/>
              <w:bottom w:val="single" w:sz="4" w:space="0" w:color="auto"/>
              <w:right w:val="single" w:sz="4" w:space="0" w:color="auto"/>
            </w:tcBorders>
            <w:shd w:val="clear" w:color="auto" w:fill="auto"/>
            <w:noWrap/>
            <w:vAlign w:val="center"/>
            <w:hideMark/>
          </w:tcPr>
          <w:p w14:paraId="4A75B738"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2023</w:t>
            </w:r>
          </w:p>
        </w:tc>
        <w:tc>
          <w:tcPr>
            <w:tcW w:w="1172" w:type="dxa"/>
            <w:tcBorders>
              <w:top w:val="nil"/>
              <w:left w:val="nil"/>
              <w:bottom w:val="single" w:sz="4" w:space="0" w:color="auto"/>
              <w:right w:val="single" w:sz="4" w:space="0" w:color="auto"/>
            </w:tcBorders>
            <w:shd w:val="clear" w:color="auto" w:fill="auto"/>
            <w:noWrap/>
            <w:vAlign w:val="center"/>
            <w:hideMark/>
          </w:tcPr>
          <w:p w14:paraId="2102B956"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008CD17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-20.812</w:t>
            </w:r>
          </w:p>
        </w:tc>
        <w:tc>
          <w:tcPr>
            <w:tcW w:w="1415" w:type="dxa"/>
            <w:tcBorders>
              <w:top w:val="nil"/>
              <w:left w:val="nil"/>
              <w:bottom w:val="single" w:sz="4" w:space="0" w:color="auto"/>
              <w:right w:val="single" w:sz="4" w:space="0" w:color="auto"/>
            </w:tcBorders>
            <w:shd w:val="clear" w:color="auto" w:fill="auto"/>
            <w:noWrap/>
            <w:vAlign w:val="center"/>
            <w:hideMark/>
          </w:tcPr>
          <w:p w14:paraId="354D798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783D31E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2.102.020</w:t>
            </w:r>
          </w:p>
        </w:tc>
      </w:tr>
      <w:tr w:rsidR="00162673" w:rsidRPr="00B672CA" w14:paraId="5A894A6F"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4C57AB9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7</w:t>
            </w:r>
          </w:p>
        </w:tc>
        <w:tc>
          <w:tcPr>
            <w:tcW w:w="1120" w:type="dxa"/>
            <w:tcBorders>
              <w:top w:val="nil"/>
              <w:left w:val="nil"/>
              <w:bottom w:val="single" w:sz="4" w:space="0" w:color="auto"/>
              <w:right w:val="single" w:sz="4" w:space="0" w:color="auto"/>
            </w:tcBorders>
            <w:shd w:val="clear" w:color="auto" w:fill="auto"/>
            <w:noWrap/>
            <w:vAlign w:val="center"/>
            <w:hideMark/>
          </w:tcPr>
          <w:p w14:paraId="5A5E9C2A"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2024</w:t>
            </w:r>
          </w:p>
        </w:tc>
        <w:tc>
          <w:tcPr>
            <w:tcW w:w="1172" w:type="dxa"/>
            <w:tcBorders>
              <w:top w:val="nil"/>
              <w:left w:val="nil"/>
              <w:bottom w:val="single" w:sz="4" w:space="0" w:color="auto"/>
              <w:right w:val="single" w:sz="4" w:space="0" w:color="auto"/>
            </w:tcBorders>
            <w:shd w:val="clear" w:color="auto" w:fill="auto"/>
            <w:noWrap/>
            <w:vAlign w:val="center"/>
            <w:hideMark/>
          </w:tcPr>
          <w:p w14:paraId="7A99EF11"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7E754A05"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-21.020</w:t>
            </w:r>
          </w:p>
        </w:tc>
        <w:tc>
          <w:tcPr>
            <w:tcW w:w="1415" w:type="dxa"/>
            <w:tcBorders>
              <w:top w:val="nil"/>
              <w:left w:val="nil"/>
              <w:bottom w:val="single" w:sz="4" w:space="0" w:color="auto"/>
              <w:right w:val="single" w:sz="4" w:space="0" w:color="auto"/>
            </w:tcBorders>
            <w:shd w:val="clear" w:color="auto" w:fill="auto"/>
            <w:noWrap/>
            <w:vAlign w:val="center"/>
            <w:hideMark/>
          </w:tcPr>
          <w:p w14:paraId="74A5A2EA"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1167EA0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2.123.040</w:t>
            </w:r>
          </w:p>
        </w:tc>
      </w:tr>
      <w:tr w:rsidR="00162673" w:rsidRPr="00B672CA" w14:paraId="23E2918C"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5FF959E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8</w:t>
            </w:r>
          </w:p>
        </w:tc>
        <w:tc>
          <w:tcPr>
            <w:tcW w:w="1120" w:type="dxa"/>
            <w:tcBorders>
              <w:top w:val="nil"/>
              <w:left w:val="nil"/>
              <w:bottom w:val="single" w:sz="4" w:space="0" w:color="auto"/>
              <w:right w:val="single" w:sz="4" w:space="0" w:color="auto"/>
            </w:tcBorders>
            <w:shd w:val="clear" w:color="auto" w:fill="auto"/>
            <w:noWrap/>
            <w:vAlign w:val="center"/>
            <w:hideMark/>
          </w:tcPr>
          <w:p w14:paraId="7BFA6A4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2025</w:t>
            </w:r>
          </w:p>
        </w:tc>
        <w:tc>
          <w:tcPr>
            <w:tcW w:w="1172" w:type="dxa"/>
            <w:tcBorders>
              <w:top w:val="nil"/>
              <w:left w:val="nil"/>
              <w:bottom w:val="single" w:sz="4" w:space="0" w:color="auto"/>
              <w:right w:val="single" w:sz="4" w:space="0" w:color="auto"/>
            </w:tcBorders>
            <w:shd w:val="clear" w:color="auto" w:fill="auto"/>
            <w:noWrap/>
            <w:vAlign w:val="center"/>
            <w:hideMark/>
          </w:tcPr>
          <w:p w14:paraId="50CCEA15"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603D06D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-21.230</w:t>
            </w:r>
          </w:p>
        </w:tc>
        <w:tc>
          <w:tcPr>
            <w:tcW w:w="1415" w:type="dxa"/>
            <w:tcBorders>
              <w:top w:val="nil"/>
              <w:left w:val="nil"/>
              <w:bottom w:val="single" w:sz="4" w:space="0" w:color="auto"/>
              <w:right w:val="single" w:sz="4" w:space="0" w:color="auto"/>
            </w:tcBorders>
            <w:shd w:val="clear" w:color="auto" w:fill="auto"/>
            <w:noWrap/>
            <w:vAlign w:val="center"/>
            <w:hideMark/>
          </w:tcPr>
          <w:p w14:paraId="203D20F5"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64261438"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2.144.271</w:t>
            </w:r>
          </w:p>
        </w:tc>
      </w:tr>
      <w:tr w:rsidR="00162673" w:rsidRPr="00B672CA" w14:paraId="6BBED57F"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45F65C3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9</w:t>
            </w:r>
          </w:p>
        </w:tc>
        <w:tc>
          <w:tcPr>
            <w:tcW w:w="1120" w:type="dxa"/>
            <w:tcBorders>
              <w:top w:val="nil"/>
              <w:left w:val="nil"/>
              <w:bottom w:val="single" w:sz="4" w:space="0" w:color="auto"/>
              <w:right w:val="single" w:sz="4" w:space="0" w:color="auto"/>
            </w:tcBorders>
            <w:shd w:val="clear" w:color="auto" w:fill="auto"/>
            <w:noWrap/>
            <w:vAlign w:val="center"/>
            <w:hideMark/>
          </w:tcPr>
          <w:p w14:paraId="173D425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2026</w:t>
            </w:r>
          </w:p>
        </w:tc>
        <w:tc>
          <w:tcPr>
            <w:tcW w:w="1172" w:type="dxa"/>
            <w:tcBorders>
              <w:top w:val="nil"/>
              <w:left w:val="nil"/>
              <w:bottom w:val="single" w:sz="4" w:space="0" w:color="auto"/>
              <w:right w:val="single" w:sz="4" w:space="0" w:color="auto"/>
            </w:tcBorders>
            <w:shd w:val="clear" w:color="auto" w:fill="auto"/>
            <w:noWrap/>
            <w:vAlign w:val="center"/>
            <w:hideMark/>
          </w:tcPr>
          <w:p w14:paraId="2427B816"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22CDF6B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-21.443</w:t>
            </w:r>
          </w:p>
        </w:tc>
        <w:tc>
          <w:tcPr>
            <w:tcW w:w="1415" w:type="dxa"/>
            <w:tcBorders>
              <w:top w:val="nil"/>
              <w:left w:val="nil"/>
              <w:bottom w:val="single" w:sz="4" w:space="0" w:color="auto"/>
              <w:right w:val="single" w:sz="4" w:space="0" w:color="auto"/>
            </w:tcBorders>
            <w:shd w:val="clear" w:color="auto" w:fill="auto"/>
            <w:noWrap/>
            <w:vAlign w:val="center"/>
            <w:hideMark/>
          </w:tcPr>
          <w:p w14:paraId="527E925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5CC0CE7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2.165.713</w:t>
            </w:r>
          </w:p>
        </w:tc>
      </w:tr>
      <w:tr w:rsidR="00162673" w:rsidRPr="00B672CA" w14:paraId="187B8E9E"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1311508A"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10</w:t>
            </w:r>
          </w:p>
        </w:tc>
        <w:tc>
          <w:tcPr>
            <w:tcW w:w="1120" w:type="dxa"/>
            <w:tcBorders>
              <w:top w:val="nil"/>
              <w:left w:val="nil"/>
              <w:bottom w:val="single" w:sz="4" w:space="0" w:color="auto"/>
              <w:right w:val="single" w:sz="4" w:space="0" w:color="auto"/>
            </w:tcBorders>
            <w:shd w:val="clear" w:color="auto" w:fill="auto"/>
            <w:noWrap/>
            <w:vAlign w:val="center"/>
            <w:hideMark/>
          </w:tcPr>
          <w:p w14:paraId="1A4B8B1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2027</w:t>
            </w:r>
          </w:p>
        </w:tc>
        <w:tc>
          <w:tcPr>
            <w:tcW w:w="1172" w:type="dxa"/>
            <w:tcBorders>
              <w:top w:val="nil"/>
              <w:left w:val="nil"/>
              <w:bottom w:val="single" w:sz="4" w:space="0" w:color="auto"/>
              <w:right w:val="single" w:sz="4" w:space="0" w:color="auto"/>
            </w:tcBorders>
            <w:shd w:val="clear" w:color="auto" w:fill="auto"/>
            <w:noWrap/>
            <w:vAlign w:val="center"/>
            <w:hideMark/>
          </w:tcPr>
          <w:p w14:paraId="5F23935F"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72D98F2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-21.657</w:t>
            </w:r>
          </w:p>
        </w:tc>
        <w:tc>
          <w:tcPr>
            <w:tcW w:w="1415" w:type="dxa"/>
            <w:tcBorders>
              <w:top w:val="nil"/>
              <w:left w:val="nil"/>
              <w:bottom w:val="single" w:sz="4" w:space="0" w:color="auto"/>
              <w:right w:val="single" w:sz="4" w:space="0" w:color="auto"/>
            </w:tcBorders>
            <w:shd w:val="clear" w:color="auto" w:fill="auto"/>
            <w:noWrap/>
            <w:vAlign w:val="center"/>
            <w:hideMark/>
          </w:tcPr>
          <w:p w14:paraId="1F56D89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61BFDC8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2.187.371</w:t>
            </w:r>
          </w:p>
        </w:tc>
      </w:tr>
      <w:tr w:rsidR="00162673" w:rsidRPr="00B672CA" w14:paraId="1F00E237"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571B14F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11</w:t>
            </w:r>
          </w:p>
        </w:tc>
        <w:tc>
          <w:tcPr>
            <w:tcW w:w="1120" w:type="dxa"/>
            <w:tcBorders>
              <w:top w:val="nil"/>
              <w:left w:val="nil"/>
              <w:bottom w:val="single" w:sz="4" w:space="0" w:color="auto"/>
              <w:right w:val="single" w:sz="4" w:space="0" w:color="auto"/>
            </w:tcBorders>
            <w:shd w:val="clear" w:color="auto" w:fill="auto"/>
            <w:noWrap/>
            <w:vAlign w:val="center"/>
            <w:hideMark/>
          </w:tcPr>
          <w:p w14:paraId="45014D0F"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2028</w:t>
            </w:r>
          </w:p>
        </w:tc>
        <w:tc>
          <w:tcPr>
            <w:tcW w:w="1172" w:type="dxa"/>
            <w:tcBorders>
              <w:top w:val="nil"/>
              <w:left w:val="nil"/>
              <w:bottom w:val="single" w:sz="4" w:space="0" w:color="auto"/>
              <w:right w:val="single" w:sz="4" w:space="0" w:color="auto"/>
            </w:tcBorders>
            <w:shd w:val="clear" w:color="auto" w:fill="auto"/>
            <w:noWrap/>
            <w:vAlign w:val="center"/>
            <w:hideMark/>
          </w:tcPr>
          <w:p w14:paraId="5DF60ACB"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4308FF7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-21.874</w:t>
            </w:r>
          </w:p>
        </w:tc>
        <w:tc>
          <w:tcPr>
            <w:tcW w:w="1415" w:type="dxa"/>
            <w:tcBorders>
              <w:top w:val="nil"/>
              <w:left w:val="nil"/>
              <w:bottom w:val="single" w:sz="4" w:space="0" w:color="auto"/>
              <w:right w:val="single" w:sz="4" w:space="0" w:color="auto"/>
            </w:tcBorders>
            <w:shd w:val="clear" w:color="auto" w:fill="auto"/>
            <w:noWrap/>
            <w:vAlign w:val="center"/>
            <w:hideMark/>
          </w:tcPr>
          <w:p w14:paraId="4B3E2DE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2B7412C5"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2.209.244</w:t>
            </w:r>
          </w:p>
        </w:tc>
      </w:tr>
      <w:tr w:rsidR="00162673" w:rsidRPr="00B672CA" w14:paraId="69CD498E"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7FF318D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12</w:t>
            </w:r>
          </w:p>
        </w:tc>
        <w:tc>
          <w:tcPr>
            <w:tcW w:w="1120" w:type="dxa"/>
            <w:tcBorders>
              <w:top w:val="nil"/>
              <w:left w:val="nil"/>
              <w:bottom w:val="single" w:sz="4" w:space="0" w:color="auto"/>
              <w:right w:val="single" w:sz="4" w:space="0" w:color="auto"/>
            </w:tcBorders>
            <w:shd w:val="clear" w:color="auto" w:fill="auto"/>
            <w:noWrap/>
            <w:vAlign w:val="center"/>
            <w:hideMark/>
          </w:tcPr>
          <w:p w14:paraId="2C0DE20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2029</w:t>
            </w:r>
          </w:p>
        </w:tc>
        <w:tc>
          <w:tcPr>
            <w:tcW w:w="1172" w:type="dxa"/>
            <w:tcBorders>
              <w:top w:val="nil"/>
              <w:left w:val="nil"/>
              <w:bottom w:val="single" w:sz="4" w:space="0" w:color="auto"/>
              <w:right w:val="single" w:sz="4" w:space="0" w:color="auto"/>
            </w:tcBorders>
            <w:shd w:val="clear" w:color="auto" w:fill="auto"/>
            <w:noWrap/>
            <w:vAlign w:val="center"/>
            <w:hideMark/>
          </w:tcPr>
          <w:p w14:paraId="2BA4F73E"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72ADD10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-22.092</w:t>
            </w:r>
          </w:p>
        </w:tc>
        <w:tc>
          <w:tcPr>
            <w:tcW w:w="1415" w:type="dxa"/>
            <w:tcBorders>
              <w:top w:val="nil"/>
              <w:left w:val="nil"/>
              <w:bottom w:val="single" w:sz="4" w:space="0" w:color="auto"/>
              <w:right w:val="single" w:sz="4" w:space="0" w:color="auto"/>
            </w:tcBorders>
            <w:shd w:val="clear" w:color="auto" w:fill="auto"/>
            <w:noWrap/>
            <w:vAlign w:val="center"/>
            <w:hideMark/>
          </w:tcPr>
          <w:p w14:paraId="1139BD2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6F1A94D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2.231.337</w:t>
            </w:r>
          </w:p>
        </w:tc>
      </w:tr>
      <w:tr w:rsidR="00162673" w:rsidRPr="00B672CA" w14:paraId="5A682CEA"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038BCF3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13</w:t>
            </w:r>
          </w:p>
        </w:tc>
        <w:tc>
          <w:tcPr>
            <w:tcW w:w="1120" w:type="dxa"/>
            <w:tcBorders>
              <w:top w:val="nil"/>
              <w:left w:val="nil"/>
              <w:bottom w:val="single" w:sz="4" w:space="0" w:color="auto"/>
              <w:right w:val="single" w:sz="4" w:space="0" w:color="auto"/>
            </w:tcBorders>
            <w:shd w:val="clear" w:color="auto" w:fill="auto"/>
            <w:noWrap/>
            <w:vAlign w:val="center"/>
            <w:hideMark/>
          </w:tcPr>
          <w:p w14:paraId="25982EEB"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2030</w:t>
            </w:r>
          </w:p>
        </w:tc>
        <w:tc>
          <w:tcPr>
            <w:tcW w:w="1172" w:type="dxa"/>
            <w:tcBorders>
              <w:top w:val="nil"/>
              <w:left w:val="nil"/>
              <w:bottom w:val="single" w:sz="4" w:space="0" w:color="auto"/>
              <w:right w:val="single" w:sz="4" w:space="0" w:color="auto"/>
            </w:tcBorders>
            <w:shd w:val="clear" w:color="auto" w:fill="auto"/>
            <w:noWrap/>
            <w:vAlign w:val="center"/>
            <w:hideMark/>
          </w:tcPr>
          <w:p w14:paraId="5A4CB5FA"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4BEE120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-22.313</w:t>
            </w:r>
          </w:p>
        </w:tc>
        <w:tc>
          <w:tcPr>
            <w:tcW w:w="1415" w:type="dxa"/>
            <w:tcBorders>
              <w:top w:val="nil"/>
              <w:left w:val="nil"/>
              <w:bottom w:val="single" w:sz="4" w:space="0" w:color="auto"/>
              <w:right w:val="single" w:sz="4" w:space="0" w:color="auto"/>
            </w:tcBorders>
            <w:shd w:val="clear" w:color="auto" w:fill="auto"/>
            <w:noWrap/>
            <w:vAlign w:val="center"/>
            <w:hideMark/>
          </w:tcPr>
          <w:p w14:paraId="0736B16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5841410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2.253.650</w:t>
            </w:r>
          </w:p>
        </w:tc>
      </w:tr>
      <w:tr w:rsidR="00162673" w:rsidRPr="00B672CA" w14:paraId="0B64B130"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698FED83"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14</w:t>
            </w:r>
          </w:p>
        </w:tc>
        <w:tc>
          <w:tcPr>
            <w:tcW w:w="1120" w:type="dxa"/>
            <w:tcBorders>
              <w:top w:val="nil"/>
              <w:left w:val="nil"/>
              <w:bottom w:val="single" w:sz="4" w:space="0" w:color="auto"/>
              <w:right w:val="single" w:sz="4" w:space="0" w:color="auto"/>
            </w:tcBorders>
            <w:shd w:val="clear" w:color="auto" w:fill="auto"/>
            <w:noWrap/>
            <w:vAlign w:val="center"/>
            <w:hideMark/>
          </w:tcPr>
          <w:p w14:paraId="5197B8FE"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2031</w:t>
            </w:r>
          </w:p>
        </w:tc>
        <w:tc>
          <w:tcPr>
            <w:tcW w:w="1172" w:type="dxa"/>
            <w:tcBorders>
              <w:top w:val="nil"/>
              <w:left w:val="nil"/>
              <w:bottom w:val="single" w:sz="4" w:space="0" w:color="auto"/>
              <w:right w:val="single" w:sz="4" w:space="0" w:color="auto"/>
            </w:tcBorders>
            <w:shd w:val="clear" w:color="auto" w:fill="auto"/>
            <w:noWrap/>
            <w:vAlign w:val="center"/>
            <w:hideMark/>
          </w:tcPr>
          <w:p w14:paraId="44A0D286"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68B927E2"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-22.537</w:t>
            </w:r>
          </w:p>
        </w:tc>
        <w:tc>
          <w:tcPr>
            <w:tcW w:w="1415" w:type="dxa"/>
            <w:tcBorders>
              <w:top w:val="nil"/>
              <w:left w:val="nil"/>
              <w:bottom w:val="single" w:sz="4" w:space="0" w:color="auto"/>
              <w:right w:val="single" w:sz="4" w:space="0" w:color="auto"/>
            </w:tcBorders>
            <w:shd w:val="clear" w:color="auto" w:fill="auto"/>
            <w:noWrap/>
            <w:vAlign w:val="center"/>
            <w:hideMark/>
          </w:tcPr>
          <w:p w14:paraId="223BF4B3"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71274A92"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2.276.187</w:t>
            </w:r>
          </w:p>
        </w:tc>
      </w:tr>
      <w:tr w:rsidR="00162673" w:rsidRPr="00B672CA" w14:paraId="3ADC0955"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30EE328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15</w:t>
            </w:r>
          </w:p>
        </w:tc>
        <w:tc>
          <w:tcPr>
            <w:tcW w:w="1120" w:type="dxa"/>
            <w:tcBorders>
              <w:top w:val="nil"/>
              <w:left w:val="nil"/>
              <w:bottom w:val="single" w:sz="4" w:space="0" w:color="auto"/>
              <w:right w:val="single" w:sz="4" w:space="0" w:color="auto"/>
            </w:tcBorders>
            <w:shd w:val="clear" w:color="auto" w:fill="auto"/>
            <w:noWrap/>
            <w:vAlign w:val="center"/>
            <w:hideMark/>
          </w:tcPr>
          <w:p w14:paraId="3D14AEA5"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2032</w:t>
            </w:r>
          </w:p>
        </w:tc>
        <w:tc>
          <w:tcPr>
            <w:tcW w:w="1172" w:type="dxa"/>
            <w:tcBorders>
              <w:top w:val="nil"/>
              <w:left w:val="nil"/>
              <w:bottom w:val="single" w:sz="4" w:space="0" w:color="auto"/>
              <w:right w:val="single" w:sz="4" w:space="0" w:color="auto"/>
            </w:tcBorders>
            <w:shd w:val="clear" w:color="auto" w:fill="auto"/>
            <w:noWrap/>
            <w:vAlign w:val="center"/>
            <w:hideMark/>
          </w:tcPr>
          <w:p w14:paraId="5D7CCEB9"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181386C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-22.762</w:t>
            </w:r>
          </w:p>
        </w:tc>
        <w:tc>
          <w:tcPr>
            <w:tcW w:w="1415" w:type="dxa"/>
            <w:tcBorders>
              <w:top w:val="nil"/>
              <w:left w:val="nil"/>
              <w:bottom w:val="single" w:sz="4" w:space="0" w:color="auto"/>
              <w:right w:val="single" w:sz="4" w:space="0" w:color="auto"/>
            </w:tcBorders>
            <w:shd w:val="clear" w:color="auto" w:fill="auto"/>
            <w:noWrap/>
            <w:vAlign w:val="center"/>
            <w:hideMark/>
          </w:tcPr>
          <w:p w14:paraId="4026EFB0"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30C619E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2.298.948</w:t>
            </w:r>
          </w:p>
        </w:tc>
      </w:tr>
      <w:tr w:rsidR="00162673" w:rsidRPr="00B672CA" w14:paraId="6710CC32"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265EE2F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16</w:t>
            </w:r>
          </w:p>
        </w:tc>
        <w:tc>
          <w:tcPr>
            <w:tcW w:w="1120" w:type="dxa"/>
            <w:tcBorders>
              <w:top w:val="nil"/>
              <w:left w:val="nil"/>
              <w:bottom w:val="single" w:sz="4" w:space="0" w:color="auto"/>
              <w:right w:val="single" w:sz="4" w:space="0" w:color="auto"/>
            </w:tcBorders>
            <w:shd w:val="clear" w:color="auto" w:fill="auto"/>
            <w:noWrap/>
            <w:vAlign w:val="center"/>
            <w:hideMark/>
          </w:tcPr>
          <w:p w14:paraId="2136C6F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2033</w:t>
            </w:r>
          </w:p>
        </w:tc>
        <w:tc>
          <w:tcPr>
            <w:tcW w:w="1172" w:type="dxa"/>
            <w:tcBorders>
              <w:top w:val="nil"/>
              <w:left w:val="nil"/>
              <w:bottom w:val="single" w:sz="4" w:space="0" w:color="auto"/>
              <w:right w:val="single" w:sz="4" w:space="0" w:color="auto"/>
            </w:tcBorders>
            <w:shd w:val="clear" w:color="auto" w:fill="auto"/>
            <w:noWrap/>
            <w:vAlign w:val="center"/>
            <w:hideMark/>
          </w:tcPr>
          <w:p w14:paraId="4D7C07BD"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2A41A9D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-22.989</w:t>
            </w:r>
          </w:p>
        </w:tc>
        <w:tc>
          <w:tcPr>
            <w:tcW w:w="1415" w:type="dxa"/>
            <w:tcBorders>
              <w:top w:val="nil"/>
              <w:left w:val="nil"/>
              <w:bottom w:val="single" w:sz="4" w:space="0" w:color="auto"/>
              <w:right w:val="single" w:sz="4" w:space="0" w:color="auto"/>
            </w:tcBorders>
            <w:shd w:val="clear" w:color="auto" w:fill="auto"/>
            <w:noWrap/>
            <w:vAlign w:val="center"/>
            <w:hideMark/>
          </w:tcPr>
          <w:p w14:paraId="341E52B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0A57D84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2.321.938</w:t>
            </w:r>
          </w:p>
        </w:tc>
      </w:tr>
      <w:tr w:rsidR="00162673" w:rsidRPr="00B672CA" w14:paraId="2B96D73D"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0A76810B"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17</w:t>
            </w:r>
          </w:p>
        </w:tc>
        <w:tc>
          <w:tcPr>
            <w:tcW w:w="1120" w:type="dxa"/>
            <w:tcBorders>
              <w:top w:val="nil"/>
              <w:left w:val="nil"/>
              <w:bottom w:val="single" w:sz="4" w:space="0" w:color="auto"/>
              <w:right w:val="single" w:sz="4" w:space="0" w:color="auto"/>
            </w:tcBorders>
            <w:shd w:val="clear" w:color="auto" w:fill="auto"/>
            <w:noWrap/>
            <w:vAlign w:val="center"/>
            <w:hideMark/>
          </w:tcPr>
          <w:p w14:paraId="7F414587"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2034</w:t>
            </w:r>
          </w:p>
        </w:tc>
        <w:tc>
          <w:tcPr>
            <w:tcW w:w="1172" w:type="dxa"/>
            <w:tcBorders>
              <w:top w:val="nil"/>
              <w:left w:val="nil"/>
              <w:bottom w:val="single" w:sz="4" w:space="0" w:color="auto"/>
              <w:right w:val="single" w:sz="4" w:space="0" w:color="auto"/>
            </w:tcBorders>
            <w:shd w:val="clear" w:color="auto" w:fill="auto"/>
            <w:noWrap/>
            <w:vAlign w:val="center"/>
            <w:hideMark/>
          </w:tcPr>
          <w:p w14:paraId="061557A3"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7BCFCAF9"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-23.219</w:t>
            </w:r>
          </w:p>
        </w:tc>
        <w:tc>
          <w:tcPr>
            <w:tcW w:w="1415" w:type="dxa"/>
            <w:tcBorders>
              <w:top w:val="nil"/>
              <w:left w:val="nil"/>
              <w:bottom w:val="single" w:sz="4" w:space="0" w:color="auto"/>
              <w:right w:val="single" w:sz="4" w:space="0" w:color="auto"/>
            </w:tcBorders>
            <w:shd w:val="clear" w:color="auto" w:fill="auto"/>
            <w:noWrap/>
            <w:vAlign w:val="center"/>
            <w:hideMark/>
          </w:tcPr>
          <w:p w14:paraId="6DAAAC9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47ABF9B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2.345.157</w:t>
            </w:r>
          </w:p>
        </w:tc>
      </w:tr>
      <w:tr w:rsidR="00162673" w:rsidRPr="00B672CA" w14:paraId="04CCAF36"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54CC142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18</w:t>
            </w:r>
          </w:p>
        </w:tc>
        <w:tc>
          <w:tcPr>
            <w:tcW w:w="1120" w:type="dxa"/>
            <w:tcBorders>
              <w:top w:val="nil"/>
              <w:left w:val="nil"/>
              <w:bottom w:val="single" w:sz="4" w:space="0" w:color="auto"/>
              <w:right w:val="single" w:sz="4" w:space="0" w:color="auto"/>
            </w:tcBorders>
            <w:shd w:val="clear" w:color="auto" w:fill="auto"/>
            <w:noWrap/>
            <w:vAlign w:val="center"/>
            <w:hideMark/>
          </w:tcPr>
          <w:p w14:paraId="342D0F1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2035</w:t>
            </w:r>
          </w:p>
        </w:tc>
        <w:tc>
          <w:tcPr>
            <w:tcW w:w="1172" w:type="dxa"/>
            <w:tcBorders>
              <w:top w:val="nil"/>
              <w:left w:val="nil"/>
              <w:bottom w:val="single" w:sz="4" w:space="0" w:color="auto"/>
              <w:right w:val="single" w:sz="4" w:space="0" w:color="auto"/>
            </w:tcBorders>
            <w:shd w:val="clear" w:color="auto" w:fill="auto"/>
            <w:noWrap/>
            <w:vAlign w:val="center"/>
            <w:hideMark/>
          </w:tcPr>
          <w:p w14:paraId="3FA84AFB"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36515B6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-23.452</w:t>
            </w:r>
          </w:p>
        </w:tc>
        <w:tc>
          <w:tcPr>
            <w:tcW w:w="1415" w:type="dxa"/>
            <w:tcBorders>
              <w:top w:val="nil"/>
              <w:left w:val="nil"/>
              <w:bottom w:val="single" w:sz="4" w:space="0" w:color="auto"/>
              <w:right w:val="single" w:sz="4" w:space="0" w:color="auto"/>
            </w:tcBorders>
            <w:shd w:val="clear" w:color="auto" w:fill="auto"/>
            <w:noWrap/>
            <w:vAlign w:val="center"/>
            <w:hideMark/>
          </w:tcPr>
          <w:p w14:paraId="6A2D08B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5CB41D1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2.368.609</w:t>
            </w:r>
          </w:p>
        </w:tc>
      </w:tr>
      <w:tr w:rsidR="00162673" w:rsidRPr="00B672CA" w14:paraId="590F5A96"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3B6A5268"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19</w:t>
            </w:r>
          </w:p>
        </w:tc>
        <w:tc>
          <w:tcPr>
            <w:tcW w:w="1120" w:type="dxa"/>
            <w:tcBorders>
              <w:top w:val="nil"/>
              <w:left w:val="nil"/>
              <w:bottom w:val="single" w:sz="4" w:space="0" w:color="auto"/>
              <w:right w:val="single" w:sz="4" w:space="0" w:color="auto"/>
            </w:tcBorders>
            <w:shd w:val="clear" w:color="auto" w:fill="auto"/>
            <w:noWrap/>
            <w:vAlign w:val="center"/>
            <w:hideMark/>
          </w:tcPr>
          <w:p w14:paraId="78E82490"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2036</w:t>
            </w:r>
          </w:p>
        </w:tc>
        <w:tc>
          <w:tcPr>
            <w:tcW w:w="1172" w:type="dxa"/>
            <w:tcBorders>
              <w:top w:val="nil"/>
              <w:left w:val="nil"/>
              <w:bottom w:val="single" w:sz="4" w:space="0" w:color="auto"/>
              <w:right w:val="single" w:sz="4" w:space="0" w:color="auto"/>
            </w:tcBorders>
            <w:shd w:val="clear" w:color="auto" w:fill="auto"/>
            <w:noWrap/>
            <w:vAlign w:val="center"/>
            <w:hideMark/>
          </w:tcPr>
          <w:p w14:paraId="7CCF9EC5"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440AF283"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-23.686</w:t>
            </w:r>
          </w:p>
        </w:tc>
        <w:tc>
          <w:tcPr>
            <w:tcW w:w="1415" w:type="dxa"/>
            <w:tcBorders>
              <w:top w:val="nil"/>
              <w:left w:val="nil"/>
              <w:bottom w:val="single" w:sz="4" w:space="0" w:color="auto"/>
              <w:right w:val="single" w:sz="4" w:space="0" w:color="auto"/>
            </w:tcBorders>
            <w:shd w:val="clear" w:color="auto" w:fill="auto"/>
            <w:noWrap/>
            <w:vAlign w:val="center"/>
            <w:hideMark/>
          </w:tcPr>
          <w:p w14:paraId="73066AAC"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c>
          <w:tcPr>
            <w:tcW w:w="2080" w:type="dxa"/>
            <w:tcBorders>
              <w:top w:val="nil"/>
              <w:left w:val="nil"/>
              <w:bottom w:val="single" w:sz="4" w:space="0" w:color="auto"/>
              <w:right w:val="single" w:sz="4" w:space="0" w:color="auto"/>
            </w:tcBorders>
            <w:shd w:val="clear" w:color="auto" w:fill="auto"/>
            <w:noWrap/>
            <w:vAlign w:val="center"/>
            <w:hideMark/>
          </w:tcPr>
          <w:p w14:paraId="58373594"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2.392.295</w:t>
            </w:r>
          </w:p>
        </w:tc>
      </w:tr>
      <w:tr w:rsidR="00162673" w:rsidRPr="00B672CA" w14:paraId="5ECB14AA"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3D1314F1"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w:t>
            </w:r>
          </w:p>
        </w:tc>
        <w:tc>
          <w:tcPr>
            <w:tcW w:w="1120" w:type="dxa"/>
            <w:tcBorders>
              <w:top w:val="nil"/>
              <w:left w:val="nil"/>
              <w:bottom w:val="single" w:sz="4" w:space="0" w:color="auto"/>
              <w:right w:val="single" w:sz="4" w:space="0" w:color="auto"/>
            </w:tcBorders>
            <w:shd w:val="clear" w:color="auto" w:fill="auto"/>
            <w:noWrap/>
            <w:vAlign w:val="center"/>
            <w:hideMark/>
          </w:tcPr>
          <w:p w14:paraId="20174356"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2037</w:t>
            </w:r>
          </w:p>
        </w:tc>
        <w:tc>
          <w:tcPr>
            <w:tcW w:w="1172" w:type="dxa"/>
            <w:tcBorders>
              <w:top w:val="nil"/>
              <w:left w:val="nil"/>
              <w:bottom w:val="single" w:sz="4" w:space="0" w:color="auto"/>
              <w:right w:val="single" w:sz="4" w:space="0" w:color="auto"/>
            </w:tcBorders>
            <w:shd w:val="clear" w:color="auto" w:fill="auto"/>
            <w:noWrap/>
            <w:vAlign w:val="center"/>
            <w:hideMark/>
          </w:tcPr>
          <w:p w14:paraId="377EEF4B" w14:textId="77777777" w:rsidR="00162673" w:rsidRPr="00B672CA" w:rsidRDefault="00162673" w:rsidP="00B2363E">
            <w:pPr>
              <w:spacing w:after="0" w:line="240" w:lineRule="auto"/>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 </w:t>
            </w:r>
          </w:p>
        </w:tc>
        <w:tc>
          <w:tcPr>
            <w:tcW w:w="1720" w:type="dxa"/>
            <w:tcBorders>
              <w:top w:val="nil"/>
              <w:left w:val="nil"/>
              <w:bottom w:val="single" w:sz="4" w:space="0" w:color="auto"/>
              <w:right w:val="single" w:sz="4" w:space="0" w:color="auto"/>
            </w:tcBorders>
            <w:shd w:val="clear" w:color="auto" w:fill="auto"/>
            <w:noWrap/>
            <w:vAlign w:val="center"/>
            <w:hideMark/>
          </w:tcPr>
          <w:p w14:paraId="1BAEDAC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-23.923</w:t>
            </w:r>
          </w:p>
        </w:tc>
        <w:tc>
          <w:tcPr>
            <w:tcW w:w="1415" w:type="dxa"/>
            <w:tcBorders>
              <w:top w:val="nil"/>
              <w:left w:val="nil"/>
              <w:bottom w:val="single" w:sz="4" w:space="0" w:color="auto"/>
              <w:right w:val="single" w:sz="4" w:space="0" w:color="auto"/>
            </w:tcBorders>
            <w:shd w:val="clear" w:color="auto" w:fill="auto"/>
            <w:noWrap/>
            <w:vAlign w:val="center"/>
            <w:hideMark/>
          </w:tcPr>
          <w:p w14:paraId="1E0CBA0D"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2.416.218</w:t>
            </w:r>
          </w:p>
        </w:tc>
        <w:tc>
          <w:tcPr>
            <w:tcW w:w="2080" w:type="dxa"/>
            <w:tcBorders>
              <w:top w:val="nil"/>
              <w:left w:val="nil"/>
              <w:bottom w:val="single" w:sz="4" w:space="0" w:color="auto"/>
              <w:right w:val="single" w:sz="4" w:space="0" w:color="auto"/>
            </w:tcBorders>
            <w:shd w:val="clear" w:color="auto" w:fill="auto"/>
            <w:noWrap/>
            <w:vAlign w:val="center"/>
            <w:hideMark/>
          </w:tcPr>
          <w:p w14:paraId="694A3473" w14:textId="77777777" w:rsidR="00162673" w:rsidRPr="00B672CA" w:rsidRDefault="00162673" w:rsidP="00B2363E">
            <w:pPr>
              <w:spacing w:after="0" w:line="240" w:lineRule="auto"/>
              <w:jc w:val="right"/>
              <w:rPr>
                <w:rFonts w:ascii="Times New Roman" w:eastAsia="Times New Roman" w:hAnsi="Times New Roman"/>
                <w:color w:val="000000"/>
                <w:sz w:val="20"/>
                <w:szCs w:val="20"/>
                <w:lang w:val="en-GB" w:eastAsia="en-GB"/>
              </w:rPr>
            </w:pPr>
            <w:r w:rsidRPr="00B672CA">
              <w:rPr>
                <w:rFonts w:ascii="Times New Roman" w:eastAsia="Times New Roman" w:hAnsi="Times New Roman"/>
                <w:color w:val="000000"/>
                <w:sz w:val="20"/>
                <w:szCs w:val="20"/>
                <w:lang w:val="en-GB" w:eastAsia="en-GB"/>
              </w:rPr>
              <w:t>0</w:t>
            </w:r>
          </w:p>
        </w:tc>
      </w:tr>
      <w:tr w:rsidR="00162673" w:rsidRPr="00B672CA" w14:paraId="3D0592CF" w14:textId="77777777" w:rsidTr="006B0DFA">
        <w:trPr>
          <w:trHeight w:val="300"/>
        </w:trPr>
        <w:tc>
          <w:tcPr>
            <w:tcW w:w="783" w:type="dxa"/>
            <w:tcBorders>
              <w:top w:val="nil"/>
              <w:left w:val="single" w:sz="4" w:space="0" w:color="auto"/>
              <w:bottom w:val="single" w:sz="4" w:space="0" w:color="auto"/>
              <w:right w:val="single" w:sz="4" w:space="0" w:color="auto"/>
            </w:tcBorders>
            <w:shd w:val="clear" w:color="auto" w:fill="auto"/>
            <w:noWrap/>
            <w:vAlign w:val="center"/>
            <w:hideMark/>
          </w:tcPr>
          <w:p w14:paraId="2FE4A563"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c>
          <w:tcPr>
            <w:tcW w:w="1120" w:type="dxa"/>
            <w:tcBorders>
              <w:top w:val="nil"/>
              <w:left w:val="nil"/>
              <w:bottom w:val="single" w:sz="4" w:space="0" w:color="auto"/>
              <w:right w:val="single" w:sz="4" w:space="0" w:color="auto"/>
            </w:tcBorders>
            <w:shd w:val="clear" w:color="auto" w:fill="auto"/>
            <w:noWrap/>
            <w:vAlign w:val="center"/>
            <w:hideMark/>
          </w:tcPr>
          <w:p w14:paraId="71A98275"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Total</w:t>
            </w:r>
          </w:p>
        </w:tc>
        <w:tc>
          <w:tcPr>
            <w:tcW w:w="1172" w:type="dxa"/>
            <w:tcBorders>
              <w:top w:val="nil"/>
              <w:left w:val="nil"/>
              <w:bottom w:val="single" w:sz="4" w:space="0" w:color="auto"/>
              <w:right w:val="single" w:sz="4" w:space="0" w:color="auto"/>
            </w:tcBorders>
            <w:shd w:val="clear" w:color="auto" w:fill="auto"/>
            <w:noWrap/>
            <w:vAlign w:val="center"/>
            <w:hideMark/>
          </w:tcPr>
          <w:p w14:paraId="0EFEA4E3" w14:textId="77777777" w:rsidR="00162673" w:rsidRPr="00B672CA" w:rsidRDefault="00162673" w:rsidP="00B2363E">
            <w:pPr>
              <w:spacing w:after="0" w:line="240" w:lineRule="auto"/>
              <w:jc w:val="right"/>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-2.000.000</w:t>
            </w:r>
          </w:p>
        </w:tc>
        <w:tc>
          <w:tcPr>
            <w:tcW w:w="1720" w:type="dxa"/>
            <w:tcBorders>
              <w:top w:val="nil"/>
              <w:left w:val="nil"/>
              <w:bottom w:val="single" w:sz="4" w:space="0" w:color="auto"/>
              <w:right w:val="single" w:sz="4" w:space="0" w:color="auto"/>
            </w:tcBorders>
            <w:shd w:val="clear" w:color="auto" w:fill="auto"/>
            <w:noWrap/>
            <w:vAlign w:val="center"/>
            <w:hideMark/>
          </w:tcPr>
          <w:p w14:paraId="5A085EF9" w14:textId="77777777" w:rsidR="00162673" w:rsidRPr="00B672CA" w:rsidRDefault="00162673" w:rsidP="00B2363E">
            <w:pPr>
              <w:spacing w:after="0" w:line="240" w:lineRule="auto"/>
              <w:jc w:val="right"/>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-416.218</w:t>
            </w:r>
          </w:p>
        </w:tc>
        <w:tc>
          <w:tcPr>
            <w:tcW w:w="1415" w:type="dxa"/>
            <w:tcBorders>
              <w:top w:val="nil"/>
              <w:left w:val="nil"/>
              <w:bottom w:val="single" w:sz="4" w:space="0" w:color="auto"/>
              <w:right w:val="single" w:sz="4" w:space="0" w:color="auto"/>
            </w:tcBorders>
            <w:shd w:val="clear" w:color="auto" w:fill="auto"/>
            <w:noWrap/>
            <w:vAlign w:val="center"/>
            <w:hideMark/>
          </w:tcPr>
          <w:p w14:paraId="0E304D61" w14:textId="77777777" w:rsidR="00162673" w:rsidRPr="00B672CA" w:rsidRDefault="00162673" w:rsidP="00B2363E">
            <w:pPr>
              <w:spacing w:after="0" w:line="240" w:lineRule="auto"/>
              <w:jc w:val="right"/>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2.416.218</w:t>
            </w:r>
          </w:p>
        </w:tc>
        <w:tc>
          <w:tcPr>
            <w:tcW w:w="2080" w:type="dxa"/>
            <w:tcBorders>
              <w:top w:val="nil"/>
              <w:left w:val="nil"/>
              <w:bottom w:val="single" w:sz="4" w:space="0" w:color="auto"/>
              <w:right w:val="single" w:sz="4" w:space="0" w:color="auto"/>
            </w:tcBorders>
            <w:shd w:val="clear" w:color="auto" w:fill="auto"/>
            <w:noWrap/>
            <w:vAlign w:val="center"/>
            <w:hideMark/>
          </w:tcPr>
          <w:p w14:paraId="6E152A53" w14:textId="77777777" w:rsidR="00162673" w:rsidRPr="00B672CA" w:rsidRDefault="00162673" w:rsidP="00B2363E">
            <w:pPr>
              <w:spacing w:after="0" w:line="240" w:lineRule="auto"/>
              <w:rPr>
                <w:rFonts w:ascii="Times New Roman" w:eastAsia="Times New Roman" w:hAnsi="Times New Roman"/>
                <w:b/>
                <w:bCs/>
                <w:color w:val="000000"/>
                <w:sz w:val="20"/>
                <w:szCs w:val="20"/>
                <w:lang w:val="en-GB" w:eastAsia="en-GB"/>
              </w:rPr>
            </w:pPr>
            <w:r w:rsidRPr="00B672CA">
              <w:rPr>
                <w:rFonts w:ascii="Times New Roman" w:eastAsia="Times New Roman" w:hAnsi="Times New Roman"/>
                <w:b/>
                <w:bCs/>
                <w:color w:val="000000"/>
                <w:sz w:val="20"/>
                <w:szCs w:val="20"/>
                <w:lang w:val="en-GB" w:eastAsia="en-GB"/>
              </w:rPr>
              <w:t> </w:t>
            </w:r>
          </w:p>
        </w:tc>
      </w:tr>
    </w:tbl>
    <w:p w14:paraId="19DDF554" w14:textId="77777777" w:rsidR="00162673" w:rsidRPr="00B672CA" w:rsidRDefault="00162673" w:rsidP="00B37DAC">
      <w:pPr>
        <w:pStyle w:val="Annexpara"/>
      </w:pPr>
    </w:p>
    <w:p w14:paraId="73196118" w14:textId="5B7CA6D3" w:rsidR="00162673" w:rsidRPr="00B672CA" w:rsidRDefault="00162673" w:rsidP="00B37DAC">
      <w:pPr>
        <w:pStyle w:val="Annexpara"/>
      </w:pPr>
      <w:r w:rsidRPr="00B672CA">
        <w:t>This reflow schedule is indicative only, as GEF’s actual yield will depend on th</w:t>
      </w:r>
      <w:r w:rsidR="006B0DFA" w:rsidRPr="00B672CA">
        <w:t>e performance of the fund.</w:t>
      </w:r>
      <w:r w:rsidRPr="00B672CA">
        <w:t xml:space="preserve"> The USD</w:t>
      </w:r>
      <w:r w:rsidR="006B0DFA" w:rsidRPr="00B672CA">
        <w:t xml:space="preserve"> </w:t>
      </w:r>
      <w:r w:rsidRPr="00B672CA">
        <w:t xml:space="preserve">2 </w:t>
      </w:r>
      <w:r w:rsidRPr="00280BF9">
        <w:t xml:space="preserve">million contribution will share </w:t>
      </w:r>
      <w:r w:rsidRPr="00280BF9">
        <w:rPr>
          <w:i/>
        </w:rPr>
        <w:t>pari passu</w:t>
      </w:r>
      <w:r w:rsidRPr="00280BF9">
        <w:t xml:space="preserve"> with other Contributors in the Net Asset Value performance of the </w:t>
      </w:r>
      <w:r w:rsidR="006B0DFA" w:rsidRPr="00280BF9">
        <w:t>f</w:t>
      </w:r>
      <w:r w:rsidRPr="00280BF9">
        <w:t xml:space="preserve">und up until redemption date by GEF in </w:t>
      </w:r>
      <w:r w:rsidR="006B0DFA" w:rsidRPr="00280BF9">
        <w:t xml:space="preserve">year </w:t>
      </w:r>
      <w:r w:rsidRPr="00280BF9">
        <w:t xml:space="preserve">20. </w:t>
      </w:r>
      <w:r w:rsidR="00092246" w:rsidRPr="00280BF9">
        <w:t xml:space="preserve">Payment will be made through the Implementing Agency. The Executing Agency will return the reflow to UN Environment and UN Environment will return the non-grant and accrued interest to the GEF. </w:t>
      </w:r>
      <w:r w:rsidRPr="00280BF9">
        <w:t xml:space="preserve">The current </w:t>
      </w:r>
      <w:r w:rsidR="006B0DFA" w:rsidRPr="00280BF9">
        <w:t>n</w:t>
      </w:r>
      <w:r w:rsidRPr="00280BF9">
        <w:t xml:space="preserve">et IRR of the </w:t>
      </w:r>
      <w:r w:rsidR="006B0DFA" w:rsidRPr="00280BF9">
        <w:t>f</w:t>
      </w:r>
      <w:r w:rsidRPr="00280BF9">
        <w:t>und is expected to be approximately 1% during this period.</w:t>
      </w:r>
      <w:r w:rsidRPr="00B672CA">
        <w:t xml:space="preserve"> </w:t>
      </w:r>
    </w:p>
    <w:p w14:paraId="5BAEBE6C" w14:textId="3F07AA1B" w:rsidR="007349FE" w:rsidRPr="00B672CA" w:rsidRDefault="007349FE" w:rsidP="00B37DAC">
      <w:pPr>
        <w:pStyle w:val="Annexpara"/>
      </w:pPr>
      <w:r w:rsidRPr="00B672CA">
        <w:t>A t</w:t>
      </w:r>
      <w:r w:rsidR="00582ACC" w:rsidRPr="00B672CA">
        <w:t xml:space="preserve">entative list of project types that could qualify for GEF funding (proportionately as a Contributor in the </w:t>
      </w:r>
      <w:r w:rsidR="00005AAD" w:rsidRPr="00B672CA">
        <w:t>&amp;Green Fund</w:t>
      </w:r>
      <w:r w:rsidR="00582ACC" w:rsidRPr="00B672CA">
        <w:t>) with estimated reflows</w:t>
      </w:r>
      <w:r w:rsidRPr="00B672CA">
        <w:t xml:space="preserve"> are provided below</w:t>
      </w:r>
      <w:r w:rsidR="00582ACC" w:rsidRPr="00B672CA">
        <w:t xml:space="preserve">. GEF funding will only represent up to US$ 2 million of the total value of the portfolio of projects within the </w:t>
      </w:r>
      <w:r w:rsidR="00005AAD" w:rsidRPr="00B672CA">
        <w:t>&amp;Green Fund</w:t>
      </w:r>
      <w:r w:rsidR="00582ACC" w:rsidRPr="00B672CA">
        <w:t>.</w:t>
      </w:r>
      <w:r w:rsidR="002547EC" w:rsidRPr="00B672CA">
        <w:t xml:space="preserve"> Note that the interest rate/</w:t>
      </w:r>
      <w:r w:rsidRPr="00B672CA">
        <w:t xml:space="preserve"> </w:t>
      </w:r>
      <w:r w:rsidR="002547EC" w:rsidRPr="00B672CA">
        <w:t>return estimated is the gross return, i.e. prior to the</w:t>
      </w:r>
      <w:r w:rsidR="007F5F4C" w:rsidRPr="00B672CA">
        <w:t xml:space="preserve"> fund</w:t>
      </w:r>
      <w:r w:rsidR="002547EC" w:rsidRPr="00B672CA">
        <w:t>’s expenses being taken into account.</w:t>
      </w:r>
      <w:r w:rsidRPr="00B672CA">
        <w:t>.</w:t>
      </w:r>
    </w:p>
    <w:p w14:paraId="3500D81A" w14:textId="77777777" w:rsidR="008F4B76" w:rsidRPr="00B672CA" w:rsidRDefault="00582ACC" w:rsidP="00F533BE">
      <w:pPr>
        <w:pStyle w:val="Bullets1"/>
        <w:rPr>
          <w:sz w:val="20"/>
          <w:szCs w:val="20"/>
        </w:rPr>
      </w:pPr>
      <w:r w:rsidRPr="00B672CA">
        <w:t>Greenfield community palm oil plantations in Liberia</w:t>
      </w:r>
    </w:p>
    <w:p w14:paraId="23361E8E" w14:textId="7C6F3795" w:rsidR="008F4B76" w:rsidRPr="00B672CA" w:rsidRDefault="008F4B76" w:rsidP="00F533BE">
      <w:pPr>
        <w:pStyle w:val="Bullets2"/>
      </w:pPr>
      <w:r w:rsidRPr="00B672CA">
        <w:t>Investment type description: long-term guarantee</w:t>
      </w:r>
    </w:p>
    <w:p w14:paraId="474CCDE4" w14:textId="10A8428A" w:rsidR="008F4B76" w:rsidRPr="00B672CA" w:rsidRDefault="008F4B76" w:rsidP="00F533BE">
      <w:pPr>
        <w:pStyle w:val="Bullets2"/>
      </w:pPr>
      <w:r w:rsidRPr="00B672CA">
        <w:t>Expected start of disbursement: Q1 2018</w:t>
      </w:r>
    </w:p>
    <w:p w14:paraId="220D5132" w14:textId="21CBCB14" w:rsidR="008F4B76" w:rsidRPr="00B672CA" w:rsidRDefault="008F4B76" w:rsidP="00F533BE">
      <w:pPr>
        <w:pStyle w:val="Bullets2"/>
      </w:pPr>
      <w:r w:rsidRPr="00B672CA">
        <w:t>Amount of investment (</w:t>
      </w:r>
      <w:r w:rsidR="00005AAD" w:rsidRPr="00B672CA">
        <w:t>&amp;Green Fund</w:t>
      </w:r>
      <w:r w:rsidRPr="00B672CA">
        <w:t>): US$ 8 million</w:t>
      </w:r>
    </w:p>
    <w:p w14:paraId="1C53D600" w14:textId="574572E6" w:rsidR="008F4B76" w:rsidRPr="00B672CA" w:rsidRDefault="008F4B76" w:rsidP="00F533BE">
      <w:pPr>
        <w:pStyle w:val="Bullets2"/>
      </w:pPr>
      <w:r w:rsidRPr="00B672CA">
        <w:t>Amount of investment (total project): US$32 million</w:t>
      </w:r>
    </w:p>
    <w:p w14:paraId="4C393B6D" w14:textId="3ACB6F21" w:rsidR="008F4B76" w:rsidRPr="00B672CA" w:rsidRDefault="002547EC" w:rsidP="00F533BE">
      <w:pPr>
        <w:pStyle w:val="Bullets2"/>
      </w:pPr>
      <w:r w:rsidRPr="00B672CA">
        <w:t>Estimated interest rate/</w:t>
      </w:r>
      <w:r w:rsidR="008F4B76" w:rsidRPr="00B672CA">
        <w:t>return: 3%</w:t>
      </w:r>
    </w:p>
    <w:p w14:paraId="66589591" w14:textId="1A83BF9F" w:rsidR="008F4B76" w:rsidRPr="00B672CA" w:rsidRDefault="008F4B76" w:rsidP="00F533BE">
      <w:pPr>
        <w:pStyle w:val="Bullets2"/>
      </w:pPr>
      <w:r w:rsidRPr="00B672CA">
        <w:t>Term of investment: 13yrs</w:t>
      </w:r>
    </w:p>
    <w:p w14:paraId="08B1728A" w14:textId="25F8B3E5" w:rsidR="008F4B76" w:rsidRPr="00B672CA" w:rsidRDefault="008F4B76" w:rsidP="00F533BE">
      <w:pPr>
        <w:pStyle w:val="Bullets2"/>
      </w:pPr>
      <w:r w:rsidRPr="00B672CA">
        <w:t>Estimated grace period: 5yrs</w:t>
      </w:r>
    </w:p>
    <w:p w14:paraId="06288313" w14:textId="628D5555" w:rsidR="008F4B76" w:rsidRPr="00B672CA" w:rsidRDefault="008F4B76" w:rsidP="00F533BE">
      <w:pPr>
        <w:pStyle w:val="Bullets2"/>
      </w:pPr>
      <w:r w:rsidRPr="00B672CA">
        <w:t>Repayment method: during grace period interest payments are made, after grace, annual payments to repay interest.</w:t>
      </w:r>
    </w:p>
    <w:p w14:paraId="630F7685" w14:textId="77777777" w:rsidR="008F4B76" w:rsidRPr="00B672CA" w:rsidRDefault="008F4B76" w:rsidP="007349FE">
      <w:pPr>
        <w:pStyle w:val="ListParagraph"/>
        <w:ind w:left="1440"/>
        <w:rPr>
          <w:sz w:val="20"/>
          <w:szCs w:val="20"/>
          <w:lang w:val="en-US"/>
        </w:rPr>
      </w:pPr>
    </w:p>
    <w:p w14:paraId="31A17FF0" w14:textId="77777777" w:rsidR="003C19D3" w:rsidRPr="00B672CA" w:rsidRDefault="003C19D3" w:rsidP="00F533BE">
      <w:pPr>
        <w:pStyle w:val="Bullets1"/>
      </w:pPr>
      <w:r w:rsidRPr="00B672CA">
        <w:t>Amazon sustainable cattle management in Brazil</w:t>
      </w:r>
    </w:p>
    <w:p w14:paraId="55783A26" w14:textId="195CCC3D" w:rsidR="008F4B76" w:rsidRPr="00B672CA" w:rsidRDefault="008F4B76" w:rsidP="00F533BE">
      <w:pPr>
        <w:pStyle w:val="Bullets2"/>
      </w:pPr>
      <w:r w:rsidRPr="00B672CA">
        <w:t>Investment type description: subordinate note (coupon) with profit participation</w:t>
      </w:r>
    </w:p>
    <w:p w14:paraId="005BA909" w14:textId="77777777" w:rsidR="008F4B76" w:rsidRPr="00B672CA" w:rsidRDefault="008F4B76" w:rsidP="00F533BE">
      <w:pPr>
        <w:pStyle w:val="Bullets2"/>
      </w:pPr>
      <w:r w:rsidRPr="00B672CA">
        <w:t>Expected start of disbursement: Q1 2018</w:t>
      </w:r>
    </w:p>
    <w:p w14:paraId="577080F4" w14:textId="38440B06" w:rsidR="008F4B76" w:rsidRPr="00B672CA" w:rsidRDefault="008F4B76" w:rsidP="00F533BE">
      <w:pPr>
        <w:pStyle w:val="Bullets2"/>
      </w:pPr>
      <w:r w:rsidRPr="00B672CA">
        <w:t>Amount of investment (</w:t>
      </w:r>
      <w:r w:rsidR="00005AAD" w:rsidRPr="00B672CA">
        <w:t>&amp;Green Fund</w:t>
      </w:r>
      <w:r w:rsidRPr="00B672CA">
        <w:t>): US$ 12 million</w:t>
      </w:r>
    </w:p>
    <w:p w14:paraId="121003CF" w14:textId="1F2B9A59" w:rsidR="008F4B76" w:rsidRPr="00B672CA" w:rsidRDefault="008F4B76" w:rsidP="00F533BE">
      <w:pPr>
        <w:pStyle w:val="Bullets2"/>
      </w:pPr>
      <w:r w:rsidRPr="00B672CA">
        <w:t>Amount of investment (total project): US$60 million</w:t>
      </w:r>
    </w:p>
    <w:p w14:paraId="0B6EE508" w14:textId="40783C6E" w:rsidR="008F4B76" w:rsidRPr="00B672CA" w:rsidRDefault="008F4B76" w:rsidP="00F533BE">
      <w:pPr>
        <w:pStyle w:val="Bullets2"/>
      </w:pPr>
      <w:r w:rsidRPr="00B672CA">
        <w:t>E</w:t>
      </w:r>
      <w:r w:rsidR="002547EC" w:rsidRPr="00B672CA">
        <w:t>stimated interest rate/</w:t>
      </w:r>
      <w:r w:rsidRPr="00B672CA">
        <w:t>return: 5.5%</w:t>
      </w:r>
    </w:p>
    <w:p w14:paraId="38552CAA" w14:textId="666E480B" w:rsidR="008F4B76" w:rsidRPr="00B672CA" w:rsidRDefault="008F4B76" w:rsidP="00F533BE">
      <w:pPr>
        <w:pStyle w:val="Bullets2"/>
      </w:pPr>
      <w:r w:rsidRPr="00B672CA">
        <w:t>Term of investment: 10yrs</w:t>
      </w:r>
    </w:p>
    <w:p w14:paraId="369F378C" w14:textId="18BFBC6D" w:rsidR="008F4B76" w:rsidRPr="00B672CA" w:rsidRDefault="008F4B76" w:rsidP="00F533BE">
      <w:pPr>
        <w:pStyle w:val="Bullets2"/>
      </w:pPr>
      <w:r w:rsidRPr="00B672CA">
        <w:t>Estimated grace period: n/a</w:t>
      </w:r>
    </w:p>
    <w:p w14:paraId="1522BBC5" w14:textId="234C221F" w:rsidR="008F4B76" w:rsidRPr="00B672CA" w:rsidRDefault="008F4B76" w:rsidP="00F533BE">
      <w:pPr>
        <w:pStyle w:val="Bullets2"/>
      </w:pPr>
      <w:r w:rsidRPr="00B672CA">
        <w:t>Repayment method: low coupon payment annually during first 7 years, profit participation paid out in form of a special coupon in yrs 8-10</w:t>
      </w:r>
    </w:p>
    <w:p w14:paraId="6342B896" w14:textId="77777777" w:rsidR="008F4B76" w:rsidRPr="00B672CA" w:rsidRDefault="008F4B76" w:rsidP="007349FE">
      <w:pPr>
        <w:pStyle w:val="ListParagraph"/>
        <w:rPr>
          <w:lang w:val="en-US"/>
        </w:rPr>
      </w:pPr>
    </w:p>
    <w:p w14:paraId="58B7040F" w14:textId="67AAEC3F" w:rsidR="00582ACC" w:rsidRPr="00B672CA" w:rsidRDefault="008F4B76" w:rsidP="00F533BE">
      <w:pPr>
        <w:pStyle w:val="Bullets1"/>
      </w:pPr>
      <w:r w:rsidRPr="00B672CA">
        <w:t>Reforestation and rubber plantation in Indonesia</w:t>
      </w:r>
      <w:r w:rsidR="00582ACC" w:rsidRPr="00B672CA">
        <w:t xml:space="preserve">  </w:t>
      </w:r>
    </w:p>
    <w:p w14:paraId="5777676E" w14:textId="1454D3DE" w:rsidR="008F4B76" w:rsidRPr="00B672CA" w:rsidRDefault="008F4B76" w:rsidP="00F533BE">
      <w:pPr>
        <w:pStyle w:val="Bullets2"/>
      </w:pPr>
      <w:r w:rsidRPr="00B672CA">
        <w:t>Investment type description: subordinate long-term loan</w:t>
      </w:r>
    </w:p>
    <w:p w14:paraId="1AC7CE4A" w14:textId="547637F2" w:rsidR="008F4B76" w:rsidRPr="00B672CA" w:rsidRDefault="008F4B76" w:rsidP="00F533BE">
      <w:pPr>
        <w:pStyle w:val="Bullets2"/>
      </w:pPr>
      <w:r w:rsidRPr="00B672CA">
        <w:t>Expected start of disbursement: Q2 2018</w:t>
      </w:r>
    </w:p>
    <w:p w14:paraId="7E41B2DD" w14:textId="14FE982F" w:rsidR="008F4B76" w:rsidRPr="00B672CA" w:rsidRDefault="008F4B76" w:rsidP="00F533BE">
      <w:pPr>
        <w:pStyle w:val="Bullets2"/>
      </w:pPr>
      <w:r w:rsidRPr="00B672CA">
        <w:t>Amount of investment (</w:t>
      </w:r>
      <w:r w:rsidR="00005AAD" w:rsidRPr="00B672CA">
        <w:t>&amp;Green Fund</w:t>
      </w:r>
      <w:r w:rsidRPr="00B672CA">
        <w:t>): US$ 15</w:t>
      </w:r>
    </w:p>
    <w:p w14:paraId="3977BB27" w14:textId="6EE6C2B5" w:rsidR="008F4B76" w:rsidRPr="00B672CA" w:rsidRDefault="008F4B76" w:rsidP="00F533BE">
      <w:pPr>
        <w:pStyle w:val="Bullets2"/>
      </w:pPr>
      <w:r w:rsidRPr="00B672CA">
        <w:t>Amount of investment (total project): US$200 million</w:t>
      </w:r>
    </w:p>
    <w:p w14:paraId="41538C2D" w14:textId="74D71625" w:rsidR="008F4B76" w:rsidRPr="00B672CA" w:rsidRDefault="008F4B76" w:rsidP="00F533BE">
      <w:pPr>
        <w:pStyle w:val="Bullets2"/>
      </w:pPr>
      <w:r w:rsidRPr="00B672CA">
        <w:t>Est</w:t>
      </w:r>
      <w:r w:rsidR="002547EC" w:rsidRPr="00B672CA">
        <w:t>imated interest rate/</w:t>
      </w:r>
      <w:r w:rsidRPr="00B672CA">
        <w:t>return: 5%</w:t>
      </w:r>
    </w:p>
    <w:p w14:paraId="3D357F5A" w14:textId="2FAD7442" w:rsidR="008F4B76" w:rsidRPr="00B672CA" w:rsidRDefault="008F4B76" w:rsidP="00F533BE">
      <w:pPr>
        <w:pStyle w:val="Bullets2"/>
      </w:pPr>
      <w:r w:rsidRPr="00B672CA">
        <w:t>Term of investment: 15yrs</w:t>
      </w:r>
    </w:p>
    <w:p w14:paraId="486373D7" w14:textId="5AC15293" w:rsidR="008F4B76" w:rsidRPr="00B672CA" w:rsidRDefault="008F4B76" w:rsidP="00F533BE">
      <w:pPr>
        <w:pStyle w:val="Bullets2"/>
      </w:pPr>
      <w:r w:rsidRPr="00B672CA">
        <w:t>Estimated grace period: 5yrs</w:t>
      </w:r>
    </w:p>
    <w:p w14:paraId="2A5FD846" w14:textId="44872B7F" w:rsidR="008F4B76" w:rsidRPr="00B672CA" w:rsidRDefault="008F4B76" w:rsidP="00F533BE">
      <w:pPr>
        <w:pStyle w:val="Bullets2"/>
      </w:pPr>
      <w:r w:rsidRPr="00B672CA">
        <w:t>Repayment method: during grace period interest payments are made, after grace, annual payments to repay interest.</w:t>
      </w:r>
    </w:p>
    <w:sectPr w:rsidR="008F4B76" w:rsidRPr="00B672CA" w:rsidSect="00696322">
      <w:pgSz w:w="12240" w:h="15840"/>
      <w:pgMar w:top="720" w:right="907" w:bottom="172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258736" w14:textId="77777777" w:rsidR="0021673D" w:rsidRDefault="0021673D" w:rsidP="00D25D40">
      <w:pPr>
        <w:spacing w:after="0" w:line="240" w:lineRule="auto"/>
      </w:pPr>
      <w:r>
        <w:separator/>
      </w:r>
    </w:p>
  </w:endnote>
  <w:endnote w:type="continuationSeparator" w:id="0">
    <w:p w14:paraId="5D37B678" w14:textId="77777777" w:rsidR="0021673D" w:rsidRDefault="0021673D" w:rsidP="00D25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7AB5C4" w14:textId="299F4B0B" w:rsidR="004041F3" w:rsidRPr="00591870" w:rsidRDefault="004041F3" w:rsidP="00696322">
    <w:pPr>
      <w:pStyle w:val="Footer"/>
      <w:tabs>
        <w:tab w:val="clear" w:pos="4320"/>
        <w:tab w:val="clear" w:pos="8640"/>
        <w:tab w:val="right" w:pos="10530"/>
      </w:tabs>
      <w:rPr>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r>
      <w:rPr>
        <w:sz w:val="16"/>
        <w:szCs w:val="16"/>
      </w:rPr>
      <w:tab/>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04701D">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B09877" w14:textId="77777777" w:rsidR="0021673D" w:rsidRDefault="0021673D" w:rsidP="00D25D40">
      <w:pPr>
        <w:spacing w:after="0" w:line="240" w:lineRule="auto"/>
      </w:pPr>
      <w:r>
        <w:separator/>
      </w:r>
    </w:p>
  </w:footnote>
  <w:footnote w:type="continuationSeparator" w:id="0">
    <w:p w14:paraId="1710A10B" w14:textId="77777777" w:rsidR="0021673D" w:rsidRDefault="0021673D" w:rsidP="00D25D40">
      <w:pPr>
        <w:spacing w:after="0" w:line="240" w:lineRule="auto"/>
      </w:pPr>
      <w:r>
        <w:continuationSeparator/>
      </w:r>
    </w:p>
  </w:footnote>
  <w:footnote w:id="1">
    <w:p w14:paraId="59E3402D" w14:textId="2CE86630" w:rsidR="004041F3" w:rsidRPr="00521FF1" w:rsidRDefault="004041F3" w:rsidP="00E667AF">
      <w:pPr>
        <w:spacing w:after="0" w:line="240" w:lineRule="auto"/>
      </w:pPr>
      <w:r>
        <w:rPr>
          <w:rStyle w:val="FootnoteReference"/>
        </w:rPr>
        <w:footnoteRef/>
      </w:r>
      <w:r>
        <w:t xml:space="preserve"> </w:t>
      </w:r>
      <w:r w:rsidRPr="00521FF1">
        <w:rPr>
          <w:rStyle w:val="FootnoteTextChar"/>
          <w:rFonts w:eastAsia="SimSun"/>
        </w:rPr>
        <w:t>IDH convenes companies, CSOs, governments and others in public-private partnerships. Together they drive the joint design, co-funding and prototyping of new economically viable approaches to realize green &amp; inclusive growth at scale in commodity sectors and sourcing areas.</w:t>
      </w:r>
    </w:p>
  </w:footnote>
  <w:footnote w:id="2">
    <w:p w14:paraId="5CE679E0" w14:textId="7E793C4B" w:rsidR="004041F3" w:rsidRPr="006A621D" w:rsidRDefault="004041F3" w:rsidP="006A621D">
      <w:pPr>
        <w:spacing w:after="0" w:line="240" w:lineRule="auto"/>
      </w:pPr>
      <w:r>
        <w:rPr>
          <w:rStyle w:val="FootnoteReference"/>
        </w:rPr>
        <w:footnoteRef/>
      </w:r>
      <w:r>
        <w:t xml:space="preserve"> </w:t>
      </w:r>
      <w:r w:rsidRPr="006A621D">
        <w:rPr>
          <w:rStyle w:val="FootnoteTextChar"/>
          <w:rFonts w:eastAsia="SimSun"/>
        </w:rPr>
        <w:t xml:space="preserve">This Fund was originally launched in January 2017 at the World Economic Forum by the Norwegian Prime Minister, Paul Polman on behalf of the Consumer Goods Forum, and Naoko Ishii, the CEO of the Global Environment Facility. Established as a Stichting (foundation) that is a Dutch legal entity with limited liability, its aim is to trigger private sector investment into agricultural productivity, whilst protecting millions of hectares of tropical forests, peatlands and biodiversity. </w:t>
      </w:r>
      <w:r>
        <w:rPr>
          <w:rStyle w:val="FootnoteTextChar"/>
          <w:rFonts w:eastAsia="SimSun"/>
          <w:lang w:val="en-US"/>
        </w:rPr>
        <w:t xml:space="preserve">The fund will invest </w:t>
      </w:r>
      <w:r w:rsidRPr="006A621D">
        <w:rPr>
          <w:rStyle w:val="FootnoteTextChar"/>
          <w:rFonts w:eastAsia="SimSun"/>
        </w:rPr>
        <w:t xml:space="preserve">up to $400 million by 2020, </w:t>
      </w:r>
      <w:r>
        <w:rPr>
          <w:rStyle w:val="FootnoteTextChar"/>
          <w:rFonts w:eastAsia="SimSun"/>
          <w:lang w:val="en-US"/>
        </w:rPr>
        <w:t xml:space="preserve">and </w:t>
      </w:r>
      <w:r w:rsidRPr="006A621D">
        <w:rPr>
          <w:rStyle w:val="FootnoteTextChar"/>
          <w:rFonts w:eastAsia="SimSun"/>
        </w:rPr>
        <w:t>wi</w:t>
      </w:r>
      <w:r>
        <w:rPr>
          <w:rStyle w:val="FootnoteTextChar"/>
          <w:rFonts w:eastAsia="SimSun"/>
        </w:rPr>
        <w:t xml:space="preserve">ll provide subordinated credit </w:t>
      </w:r>
      <w:r w:rsidRPr="006A621D">
        <w:rPr>
          <w:rStyle w:val="FootnoteTextChar"/>
          <w:rFonts w:eastAsia="SimSun"/>
        </w:rPr>
        <w:t xml:space="preserve">under flexible terms. By crowding-in co-investors, the </w:t>
      </w:r>
      <w:r>
        <w:rPr>
          <w:rStyle w:val="FootnoteTextChar"/>
          <w:rFonts w:eastAsia="SimSun"/>
          <w:lang w:val="en-US"/>
        </w:rPr>
        <w:t xml:space="preserve">fund </w:t>
      </w:r>
      <w:r w:rsidRPr="006A621D">
        <w:rPr>
          <w:rStyle w:val="FootnoteTextChar"/>
          <w:rFonts w:eastAsia="SimSun"/>
        </w:rPr>
        <w:t xml:space="preserve">maximizes the amount of private capital available. The Investment Advisor to the </w:t>
      </w:r>
      <w:r>
        <w:rPr>
          <w:rStyle w:val="FootnoteTextChar"/>
          <w:rFonts w:eastAsia="SimSun"/>
          <w:lang w:val="en-US"/>
        </w:rPr>
        <w:t>f</w:t>
      </w:r>
      <w:r w:rsidRPr="006A621D">
        <w:rPr>
          <w:rStyle w:val="FootnoteTextChar"/>
          <w:rFonts w:eastAsia="SimSun"/>
        </w:rPr>
        <w:t>und is Sail Ventures.</w:t>
      </w:r>
    </w:p>
  </w:footnote>
  <w:footnote w:id="3">
    <w:p w14:paraId="20D68064" w14:textId="3AD55675" w:rsidR="004041F3" w:rsidRPr="00086817" w:rsidRDefault="004041F3" w:rsidP="0005760B">
      <w:pPr>
        <w:pStyle w:val="FootnoteText"/>
      </w:pPr>
      <w:r>
        <w:rPr>
          <w:rStyle w:val="FootnoteReference"/>
        </w:rPr>
        <w:footnoteRef/>
      </w:r>
      <w:r>
        <w:t xml:space="preserve"> This is the investment period for the GEF’s non-grant contribution to the </w:t>
      </w:r>
      <w:r>
        <w:rPr>
          <w:lang w:val="en-US"/>
        </w:rPr>
        <w:t>&amp;Green Fund</w:t>
      </w:r>
      <w:r>
        <w:t>.</w:t>
      </w:r>
    </w:p>
  </w:footnote>
  <w:footnote w:id="4">
    <w:p w14:paraId="17150359" w14:textId="5D49A9DB" w:rsidR="004041F3" w:rsidRPr="00700256" w:rsidRDefault="004041F3" w:rsidP="0005760B">
      <w:pPr>
        <w:pStyle w:val="FootnoteText"/>
      </w:pPr>
      <w:r>
        <w:rPr>
          <w:rStyle w:val="FootnoteReference"/>
        </w:rPr>
        <w:footnoteRef/>
      </w:r>
      <w:r>
        <w:t xml:space="preserve"> This could be on or off the forest concession.</w:t>
      </w:r>
    </w:p>
  </w:footnote>
  <w:footnote w:id="5">
    <w:p w14:paraId="2B7D9CE1" w14:textId="33C1C6EC" w:rsidR="004041F3" w:rsidRPr="00F95EFD" w:rsidRDefault="004041F3" w:rsidP="0005760B">
      <w:pPr>
        <w:pStyle w:val="FootnoteText"/>
      </w:pPr>
      <w:r w:rsidRPr="00D66E0E">
        <w:rPr>
          <w:rStyle w:val="FootnoteReference"/>
        </w:rPr>
        <w:footnoteRef/>
      </w:r>
      <w:r w:rsidRPr="00D66E0E">
        <w:t xml:space="preserve"> The term de-risking is used in the world of concessional finance to represent</w:t>
      </w:r>
      <w:r w:rsidRPr="00D66E0E">
        <w:rPr>
          <w:lang w:val="en-US"/>
        </w:rPr>
        <w:t xml:space="preserve"> “</w:t>
      </w:r>
      <w:r w:rsidRPr="008144CD">
        <w:rPr>
          <w:lang w:val="en-US"/>
        </w:rPr>
        <w:t xml:space="preserve">(especially in a business context) take steps to make (something) less risky or less likely to involve a financial loss” </w:t>
      </w:r>
      <w:r>
        <w:rPr>
          <w:lang w:val="en-US"/>
        </w:rPr>
        <w:t>(</w:t>
      </w:r>
      <w:hyperlink r:id="rId1" w:history="1">
        <w:r w:rsidRPr="00441582">
          <w:rPr>
            <w:rStyle w:val="Hyperlink"/>
            <w:lang w:val="en-US"/>
          </w:rPr>
          <w:t>Oxford Dictionary</w:t>
        </w:r>
      </w:hyperlink>
      <w:r>
        <w:rPr>
          <w:lang w:val="en-US"/>
        </w:rPr>
        <w:t>)</w:t>
      </w:r>
      <w:r w:rsidRPr="00D66E0E">
        <w:t>. Usage of this term throughout the document is in this spirit.</w:t>
      </w:r>
    </w:p>
  </w:footnote>
  <w:footnote w:id="6">
    <w:p w14:paraId="0292E6A6" w14:textId="00826217" w:rsidR="004041F3" w:rsidRPr="00CC1CD3" w:rsidRDefault="004041F3" w:rsidP="0005760B">
      <w:pPr>
        <w:pStyle w:val="FootnoteText"/>
      </w:pPr>
      <w:r>
        <w:rPr>
          <w:rStyle w:val="FootnoteReference"/>
        </w:rPr>
        <w:footnoteRef/>
      </w:r>
      <w:r>
        <w:t xml:space="preserve"> </w:t>
      </w:r>
      <w:r w:rsidRPr="00AE1CBC">
        <w:t>The fund’s Lending Guidelines currently stipulate that it will not cover more than 25% of the project’s total risk exposure for any transaction (30% in least developed countries) with a target of providing not more than 20% of the risk (leverage ratio 5:1) across its portfolio by the time the</w:t>
      </w:r>
      <w:r>
        <w:t xml:space="preserve"> Fund is fully committed.</w:t>
      </w:r>
    </w:p>
  </w:footnote>
  <w:footnote w:id="7">
    <w:p w14:paraId="2ABB244D" w14:textId="77777777" w:rsidR="004041F3" w:rsidRPr="00F95EFD" w:rsidRDefault="004041F3" w:rsidP="0005760B">
      <w:pPr>
        <w:pStyle w:val="FootnoteText"/>
      </w:pPr>
      <w:r w:rsidRPr="00F95EFD">
        <w:rPr>
          <w:rStyle w:val="FootnoteReference"/>
        </w:rPr>
        <w:footnoteRef/>
      </w:r>
      <w:r w:rsidRPr="00F95EFD">
        <w:t xml:space="preserve"> For GEF Project Financing up to $2 million, PMC could be up to10% of the subtotal;  above $2 million, PMC could be up to 5% of the subtotal.</w:t>
      </w:r>
      <w:r w:rsidRPr="00F95EFD">
        <w:rPr>
          <w:lang w:val="en-US"/>
        </w:rPr>
        <w:t xml:space="preserve"> </w:t>
      </w:r>
      <w:r w:rsidRPr="00F95EFD">
        <w:t>PMC should be charged</w:t>
      </w:r>
      <w:r w:rsidRPr="00F95EFD">
        <w:rPr>
          <w:lang w:val="en-US"/>
        </w:rPr>
        <w:t xml:space="preserve"> </w:t>
      </w:r>
      <w:r w:rsidRPr="00F95EFD">
        <w:t xml:space="preserve">proportionately to focal areas based on focal area project </w:t>
      </w:r>
      <w:r w:rsidRPr="00F95EFD">
        <w:rPr>
          <w:lang w:val="en-US"/>
        </w:rPr>
        <w:t>financing</w:t>
      </w:r>
      <w:r w:rsidRPr="00F95EFD">
        <w:rPr>
          <w:color w:val="FF0000"/>
        </w:rPr>
        <w:t xml:space="preserve"> </w:t>
      </w:r>
      <w:r w:rsidRPr="00F95EFD">
        <w:t>amount in Table D below.</w:t>
      </w:r>
    </w:p>
  </w:footnote>
  <w:footnote w:id="8">
    <w:p w14:paraId="686C6693" w14:textId="77777777" w:rsidR="004041F3" w:rsidRPr="00774692" w:rsidRDefault="004041F3" w:rsidP="0005760B">
      <w:pPr>
        <w:pStyle w:val="FootnoteText"/>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2"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p>
  </w:footnote>
  <w:footnote w:id="9">
    <w:p w14:paraId="27C60407" w14:textId="78301EE7" w:rsidR="004041F3" w:rsidRPr="006C7A17" w:rsidRDefault="004041F3" w:rsidP="0005760B">
      <w:pPr>
        <w:pStyle w:val="FootnoteText"/>
      </w:pPr>
      <w:r w:rsidRPr="00B672CA">
        <w:rPr>
          <w:rStyle w:val="FootnoteReference"/>
          <w:sz w:val="18"/>
          <w:szCs w:val="18"/>
        </w:rPr>
        <w:footnoteRef/>
      </w:r>
      <w:r w:rsidRPr="00B672CA">
        <w:t xml:space="preserve"> Using the FAO EX-ACT tool, the estimated CO</w:t>
      </w:r>
      <w:r w:rsidRPr="00B672CA">
        <w:rPr>
          <w:vertAlign w:val="subscript"/>
        </w:rPr>
        <w:t>2</w:t>
      </w:r>
      <w:r w:rsidRPr="00B672CA">
        <w:t xml:space="preserve"> emissions reductions to be realized through the project’s efforts to sustainably intensify agricultural production and secure agreements to conserve HCV/HCS forests through Landscape Protection Plans are: </w:t>
      </w:r>
      <w:r w:rsidRPr="00B672CA">
        <w:rPr>
          <w:rFonts w:cstheme="minorHAnsi"/>
          <w:bCs/>
        </w:rPr>
        <w:fldChar w:fldCharType="begin"/>
      </w:r>
      <w:r w:rsidRPr="00B672CA">
        <w:rPr>
          <w:rFonts w:cstheme="minorHAnsi"/>
          <w:bCs/>
        </w:rPr>
        <w:instrText xml:space="preserve"> =SUM(LEFT) </w:instrText>
      </w:r>
      <w:r w:rsidRPr="00B672CA">
        <w:rPr>
          <w:rFonts w:cstheme="minorHAnsi"/>
          <w:bCs/>
        </w:rPr>
        <w:fldChar w:fldCharType="separate"/>
      </w:r>
      <w:r w:rsidRPr="00B672CA">
        <w:rPr>
          <w:rFonts w:cstheme="minorHAnsi"/>
          <w:bCs/>
          <w:noProof/>
        </w:rPr>
        <w:t>45,078,757</w:t>
      </w:r>
      <w:r w:rsidRPr="00B672CA">
        <w:rPr>
          <w:rFonts w:cstheme="minorHAnsi"/>
          <w:bCs/>
        </w:rPr>
        <w:fldChar w:fldCharType="end"/>
      </w:r>
      <w:r w:rsidRPr="00B672CA">
        <w:t>. The estimation is over a 20 year period, as recommended by the tool. These estimates are based on a broad understanding of the total area to be impacted through the GEF-&amp;Green Fund investments and of how this area will be impacted. Once the investment process is underway in the target landscapes and &amp;Green Fund is working to assess invest-able projects from start to finish (based on its Lending Policy and Environmental and Social Management System), and transaction execution begins, it will be possible to get more accurate values for land area impacted by the GEF investment and how it is to be impacted. At that stage, the FAO EX-ACT tool can be applied to each investment transaction to assess contribution to the reduction of carbon emissions from Land Use, Land Use Change and Forestry. The individual country results and an explanation of assumptions are in Annex P.</w:t>
      </w:r>
    </w:p>
  </w:footnote>
  <w:footnote w:id="10">
    <w:p w14:paraId="65438415" w14:textId="77777777" w:rsidR="004041F3" w:rsidRPr="007A22CA" w:rsidRDefault="004041F3" w:rsidP="0005760B">
      <w:pPr>
        <w:pStyle w:val="FootnoteText"/>
      </w:pPr>
      <w:r w:rsidRPr="007A22CA">
        <w:rPr>
          <w:rStyle w:val="FootnoteReference"/>
          <w:sz w:val="18"/>
          <w:szCs w:val="18"/>
        </w:rPr>
        <w:footnoteRef/>
      </w:r>
      <w:r w:rsidRPr="007A22CA">
        <w:t xml:space="preserve"> Food and Agriculture Organization of the United Nations. </w:t>
      </w:r>
      <w:r w:rsidRPr="007A22CA">
        <w:rPr>
          <w:i/>
        </w:rPr>
        <w:t>State of the World’s Forest 2012</w:t>
      </w:r>
      <w:r w:rsidRPr="007A22CA">
        <w:t>. Rome, 2012</w:t>
      </w:r>
      <w:r w:rsidRPr="00082082">
        <w:t>. http://www.fao.org/docrep/016/i3010e/i3010e.pdf</w:t>
      </w:r>
      <w:r w:rsidRPr="007A22CA">
        <w:t xml:space="preserve"> </w:t>
      </w:r>
    </w:p>
  </w:footnote>
  <w:footnote w:id="11">
    <w:p w14:paraId="6A2F1808" w14:textId="77777777" w:rsidR="004041F3" w:rsidRPr="007A22CA" w:rsidRDefault="004041F3" w:rsidP="0005760B">
      <w:pPr>
        <w:pStyle w:val="FootnoteText"/>
      </w:pPr>
      <w:r w:rsidRPr="007A22CA">
        <w:rPr>
          <w:rStyle w:val="FootnoteReference"/>
          <w:sz w:val="18"/>
          <w:szCs w:val="18"/>
        </w:rPr>
        <w:footnoteRef/>
      </w:r>
      <w:r w:rsidRPr="007A22CA">
        <w:t xml:space="preserve"> Food and Agriculture Organization of the United Nations. </w:t>
      </w:r>
      <w:r w:rsidRPr="007A22CA">
        <w:rPr>
          <w:i/>
        </w:rPr>
        <w:t>Global Forest Resources Assessment 2010:</w:t>
      </w:r>
      <w:r>
        <w:rPr>
          <w:i/>
        </w:rPr>
        <w:t xml:space="preserve"> </w:t>
      </w:r>
      <w:r w:rsidRPr="007A22CA">
        <w:rPr>
          <w:i/>
        </w:rPr>
        <w:t>Main Report</w:t>
      </w:r>
      <w:r w:rsidRPr="007A22CA">
        <w:t>. Rome, 2010. http://www.fao.org/docrep/013/i1757e/i1757e.pdf</w:t>
      </w:r>
    </w:p>
  </w:footnote>
  <w:footnote w:id="12">
    <w:p w14:paraId="733F7601" w14:textId="46C18C3C" w:rsidR="004041F3" w:rsidRPr="002454B7" w:rsidRDefault="004041F3" w:rsidP="0005760B">
      <w:pPr>
        <w:pStyle w:val="FootnoteText"/>
        <w:rPr>
          <w:lang w:val="en-US"/>
        </w:rPr>
      </w:pPr>
      <w:r>
        <w:rPr>
          <w:rStyle w:val="FootnoteReference"/>
        </w:rPr>
        <w:footnoteRef/>
      </w:r>
      <w:r>
        <w:t xml:space="preserve"> Climate Change 2014: Synthesis Report. Contribution of Working Groups I, II and III to the Fifth Assessment Report of the Intergovernmental Panel on Climate Change [Core Writing Team, R.K. Pachauri and L.A. Meyer (eds.)]. IPCC, Geneva, Switzerland, 151 pp.</w:t>
      </w:r>
    </w:p>
  </w:footnote>
  <w:footnote w:id="13">
    <w:p w14:paraId="0D3D21E9" w14:textId="1D0BD6A4" w:rsidR="004041F3" w:rsidRPr="00922EB7" w:rsidRDefault="004041F3" w:rsidP="0005760B">
      <w:pPr>
        <w:pStyle w:val="FootnoteText"/>
        <w:rPr>
          <w:lang w:val="en-US"/>
        </w:rPr>
      </w:pPr>
      <w:r>
        <w:rPr>
          <w:rStyle w:val="FootnoteReference"/>
        </w:rPr>
        <w:footnoteRef/>
      </w:r>
      <w:r>
        <w:t xml:space="preserve"> </w:t>
      </w:r>
      <w:r w:rsidRPr="00922EB7">
        <w:t>https://news.mongabay.com/2016/11/brazil-deforestation-in-the-amazon-increased-29-over-last-year/</w:t>
      </w:r>
    </w:p>
  </w:footnote>
  <w:footnote w:id="14">
    <w:p w14:paraId="2B34EAE7" w14:textId="77777777" w:rsidR="004041F3" w:rsidRPr="007C76A7" w:rsidRDefault="004041F3" w:rsidP="0005760B">
      <w:pPr>
        <w:pStyle w:val="FootnoteText"/>
      </w:pPr>
      <w:r w:rsidRPr="007C76A7">
        <w:rPr>
          <w:rStyle w:val="FootnoteReference"/>
          <w:sz w:val="18"/>
          <w:szCs w:val="18"/>
        </w:rPr>
        <w:footnoteRef/>
      </w:r>
      <w:r w:rsidRPr="007C76A7">
        <w:t xml:space="preserve"> Margono, Belinda Arunarwati, et al. "Primary forest cover loss in Indonesia over 2000-2012." Nature Climate Change 4.8 (2014): 730-735</w:t>
      </w:r>
      <w:r>
        <w:rPr>
          <w:lang w:val="en-US"/>
        </w:rPr>
        <w:t>;</w:t>
      </w:r>
      <w:r>
        <w:t xml:space="preserve"> and </w:t>
      </w:r>
      <w:r w:rsidRPr="007C76A7">
        <w:t>Hansen, Matthew C., et al. "High-resolution global maps of 21st-century forest cover change." Science 342.6160 (2013): 850-853.</w:t>
      </w:r>
    </w:p>
  </w:footnote>
  <w:footnote w:id="15">
    <w:p w14:paraId="4238E7BD" w14:textId="77777777" w:rsidR="004041F3" w:rsidRDefault="004041F3" w:rsidP="0005760B">
      <w:pPr>
        <w:pStyle w:val="FootnoteText"/>
      </w:pPr>
      <w:r w:rsidRPr="001E1366">
        <w:rPr>
          <w:rStyle w:val="FootnoteReference"/>
          <w:sz w:val="18"/>
          <w:szCs w:val="18"/>
        </w:rPr>
        <w:footnoteRef/>
      </w:r>
      <w:r w:rsidRPr="001E1366">
        <w:t xml:space="preserve"> The degraded primary forest class is a primary forest that has been fragmented or subjected to forest utilization, e.g. by selective logging or other human disturbances </w:t>
      </w:r>
      <w:r>
        <w:rPr>
          <w:lang w:val="en-US"/>
        </w:rPr>
        <w:t>that</w:t>
      </w:r>
      <w:r w:rsidRPr="001E1366">
        <w:t xml:space="preserve"> have led to partial canopy loss and altered forest composition and structure </w:t>
      </w:r>
      <w:r>
        <w:t xml:space="preserve">(Margono </w:t>
      </w:r>
      <w:r>
        <w:rPr>
          <w:lang w:val="en-US"/>
        </w:rPr>
        <w:t xml:space="preserve">and others, </w:t>
      </w:r>
      <w:r>
        <w:t>2014).</w:t>
      </w:r>
    </w:p>
  </w:footnote>
  <w:footnote w:id="16">
    <w:p w14:paraId="1C1F0572" w14:textId="77777777" w:rsidR="004041F3" w:rsidRPr="00227E91" w:rsidRDefault="004041F3" w:rsidP="0005760B">
      <w:pPr>
        <w:pStyle w:val="FootnoteText"/>
      </w:pPr>
      <w:r w:rsidRPr="007C76A7">
        <w:rPr>
          <w:rStyle w:val="FootnoteReference"/>
          <w:sz w:val="18"/>
          <w:szCs w:val="18"/>
        </w:rPr>
        <w:footnoteRef/>
      </w:r>
      <w:r w:rsidRPr="007C76A7">
        <w:t xml:space="preserve"> </w:t>
      </w:r>
      <w:r w:rsidRPr="00227E91">
        <w:t>Global Forest Watch (</w:t>
      </w:r>
      <w:hyperlink r:id="rId3" w:history="1">
        <w:r w:rsidRPr="00227E91">
          <w:rPr>
            <w:rStyle w:val="Hyperlink"/>
          </w:rPr>
          <w:t>www.globalforestwatch.org</w:t>
        </w:r>
      </w:hyperlink>
      <w:r w:rsidRPr="00227E91">
        <w:t>)</w:t>
      </w:r>
    </w:p>
  </w:footnote>
  <w:footnote w:id="17">
    <w:p w14:paraId="6D209A56" w14:textId="77777777" w:rsidR="004041F3" w:rsidRPr="007C76A7" w:rsidRDefault="004041F3" w:rsidP="0005760B">
      <w:pPr>
        <w:pStyle w:val="FootnoteText"/>
      </w:pPr>
      <w:r w:rsidRPr="007C76A7">
        <w:rPr>
          <w:rStyle w:val="FootnoteReference"/>
          <w:sz w:val="18"/>
          <w:szCs w:val="18"/>
        </w:rPr>
        <w:footnoteRef/>
      </w:r>
      <w:r w:rsidRPr="007C76A7">
        <w:t xml:space="preserve"> USAID, Liberia Environmental Threats and Opportunities Assessment </w:t>
      </w:r>
      <w:r>
        <w:t xml:space="preserve">(ETOA) </w:t>
      </w:r>
      <w:r w:rsidRPr="007C76A7">
        <w:t>Final, United States Agency for International Development, Liberia, (2008).</w:t>
      </w:r>
    </w:p>
  </w:footnote>
  <w:footnote w:id="18">
    <w:p w14:paraId="16CDD0BA" w14:textId="77777777" w:rsidR="004041F3" w:rsidRPr="007C76A7" w:rsidRDefault="004041F3" w:rsidP="0005760B">
      <w:pPr>
        <w:pStyle w:val="FootnoteText"/>
      </w:pPr>
      <w:r w:rsidRPr="007C76A7">
        <w:rPr>
          <w:rStyle w:val="FootnoteReference"/>
          <w:sz w:val="18"/>
          <w:szCs w:val="18"/>
        </w:rPr>
        <w:footnoteRef/>
      </w:r>
      <w:r w:rsidRPr="007C76A7">
        <w:t xml:space="preserve"> P. H. Shearman, An Assessment of Liberian Forest Area, Dynamics, FDA Concession Plans, and their Relevance to Revenue Projections.</w:t>
      </w:r>
    </w:p>
  </w:footnote>
  <w:footnote w:id="19">
    <w:p w14:paraId="4BA1D7B8" w14:textId="134BEA52" w:rsidR="004041F3" w:rsidRPr="00971167" w:rsidRDefault="004041F3" w:rsidP="00971167">
      <w:pPr>
        <w:spacing w:after="0" w:line="240" w:lineRule="auto"/>
        <w:rPr>
          <w:rStyle w:val="FootnoteTextChar"/>
          <w:rFonts w:eastAsia="SimSun"/>
          <w:lang w:val="en-US"/>
        </w:rPr>
      </w:pPr>
      <w:r w:rsidRPr="00971167">
        <w:rPr>
          <w:rStyle w:val="FootnoteReference"/>
          <w:rFonts w:ascii="Times New Roman" w:hAnsi="Times New Roman"/>
          <w:sz w:val="16"/>
          <w:szCs w:val="16"/>
        </w:rPr>
        <w:footnoteRef/>
      </w:r>
      <w:r>
        <w:t xml:space="preserve"> </w:t>
      </w:r>
      <w:r w:rsidRPr="00971167">
        <w:rPr>
          <w:rStyle w:val="FootnoteTextChar"/>
          <w:rFonts w:eastAsia="SimSun"/>
        </w:rPr>
        <w:t>Global Forest Resources Assessment 2010, Country Reports: Liberia, FRA2010/116, Rome, 2010</w:t>
      </w:r>
    </w:p>
  </w:footnote>
  <w:footnote w:id="20">
    <w:p w14:paraId="70CD303B" w14:textId="77777777" w:rsidR="004041F3" w:rsidRPr="007C76A7" w:rsidRDefault="004041F3" w:rsidP="0005760B">
      <w:pPr>
        <w:pStyle w:val="FootnoteText"/>
      </w:pPr>
      <w:r w:rsidRPr="007C76A7">
        <w:rPr>
          <w:rStyle w:val="FootnoteReference"/>
          <w:sz w:val="18"/>
          <w:szCs w:val="18"/>
        </w:rPr>
        <w:footnoteRef/>
      </w:r>
      <w:r w:rsidRPr="007C76A7">
        <w:t xml:space="preserve"> FAO, State of the</w:t>
      </w:r>
      <w:r>
        <w:rPr>
          <w:lang w:val="en-US"/>
        </w:rPr>
        <w:t xml:space="preserve"> </w:t>
      </w:r>
      <w:r w:rsidRPr="007C76A7">
        <w:t>World’s Forests, 2014.</w:t>
      </w:r>
    </w:p>
  </w:footnote>
  <w:footnote w:id="21">
    <w:p w14:paraId="0AC03E46" w14:textId="0ECE0BD5" w:rsidR="004041F3" w:rsidRPr="001E3D22" w:rsidRDefault="004041F3" w:rsidP="0005760B">
      <w:pPr>
        <w:pStyle w:val="FootnoteText"/>
        <w:rPr>
          <w:lang w:val="en-US"/>
        </w:rPr>
      </w:pPr>
      <w:r w:rsidRPr="0071459F">
        <w:rPr>
          <w:rStyle w:val="FootnoteReference"/>
          <w:sz w:val="18"/>
          <w:szCs w:val="18"/>
        </w:rPr>
        <w:footnoteRef/>
      </w:r>
      <w:r w:rsidRPr="0071459F">
        <w:t xml:space="preserve"> WRI and UN</w:t>
      </w:r>
      <w:r>
        <w:rPr>
          <w:lang w:val="en-US"/>
        </w:rPr>
        <w:t xml:space="preserve"> </w:t>
      </w:r>
      <w:r w:rsidRPr="0071459F">
        <w:t>E</w:t>
      </w:r>
      <w:r>
        <w:rPr>
          <w:lang w:val="en-US"/>
        </w:rPr>
        <w:t>nvironment</w:t>
      </w:r>
      <w:r w:rsidRPr="0071459F">
        <w:t xml:space="preserve"> F</w:t>
      </w:r>
      <w:r>
        <w:rPr>
          <w:lang w:val="en-US"/>
        </w:rPr>
        <w:t>inance Initiative</w:t>
      </w:r>
      <w:r w:rsidRPr="0071459F">
        <w:t>. Carbon Asset Risk: Discussion Framework. WRI and UN</w:t>
      </w:r>
      <w:r>
        <w:rPr>
          <w:lang w:val="en-US"/>
        </w:rPr>
        <w:t xml:space="preserve"> </w:t>
      </w:r>
      <w:r w:rsidRPr="0071459F">
        <w:t>E</w:t>
      </w:r>
      <w:r>
        <w:rPr>
          <w:lang w:val="en-US"/>
        </w:rPr>
        <w:t>nvironment</w:t>
      </w:r>
      <w:r w:rsidRPr="0071459F">
        <w:t>-FI Portfolio Carbon Initiative.</w:t>
      </w:r>
      <w:r>
        <w:rPr>
          <w:lang w:val="en-US"/>
        </w:rPr>
        <w:t xml:space="preserve"> </w:t>
      </w:r>
      <w:r>
        <w:t>2015</w:t>
      </w:r>
    </w:p>
  </w:footnote>
  <w:footnote w:id="22">
    <w:p w14:paraId="0C21BA35" w14:textId="77777777" w:rsidR="004041F3" w:rsidRPr="007C76A7" w:rsidRDefault="004041F3" w:rsidP="0005760B">
      <w:pPr>
        <w:pStyle w:val="FootnoteText"/>
      </w:pPr>
      <w:r w:rsidRPr="007C76A7">
        <w:rPr>
          <w:rStyle w:val="FootnoteReference"/>
          <w:sz w:val="18"/>
          <w:szCs w:val="18"/>
        </w:rPr>
        <w:footnoteRef/>
      </w:r>
      <w:r w:rsidRPr="007C76A7">
        <w:t xml:space="preserve"> </w:t>
      </w:r>
      <w:r w:rsidRPr="00147379">
        <w:t>Zero-net deforestation pledge</w:t>
      </w:r>
      <w:r w:rsidRPr="007C76A7">
        <w:t xml:space="preserve"> allows companies to offset the impacts of their practices on forests by replanting the deforested areas that can largely maintain forest ‘quantity, quality and carbon density’ in order to have an overall zero-net effect on deforestation. Zero deforestation pledge commits companies to completely remove deforestation from their supply chains.</w:t>
      </w:r>
    </w:p>
  </w:footnote>
  <w:footnote w:id="23">
    <w:p w14:paraId="04F12E44" w14:textId="77777777" w:rsidR="004041F3" w:rsidRPr="001E3D22" w:rsidRDefault="004041F3" w:rsidP="0005760B">
      <w:pPr>
        <w:pStyle w:val="FootnoteText"/>
        <w:rPr>
          <w:lang w:val="en-US"/>
        </w:rPr>
      </w:pPr>
      <w:r w:rsidRPr="007C76A7">
        <w:rPr>
          <w:rStyle w:val="FootnoteReference"/>
          <w:sz w:val="18"/>
          <w:szCs w:val="18"/>
        </w:rPr>
        <w:footnoteRef/>
      </w:r>
      <w:r w:rsidRPr="007C76A7">
        <w:t xml:space="preserve"> </w:t>
      </w:r>
      <w:r>
        <w:rPr>
          <w:lang w:val="en-US"/>
        </w:rPr>
        <w:t xml:space="preserve">United Nations Environment Programme. </w:t>
      </w:r>
      <w:r w:rsidRPr="007C76A7">
        <w:t>UNEP Frontiers 2016 Report: Emerging Issues of Environmental Concern. Nairobi</w:t>
      </w:r>
      <w:r>
        <w:rPr>
          <w:lang w:val="en-US"/>
        </w:rPr>
        <w:t xml:space="preserve">, </w:t>
      </w:r>
      <w:r>
        <w:t>2015</w:t>
      </w:r>
    </w:p>
  </w:footnote>
  <w:footnote w:id="24">
    <w:p w14:paraId="59D0A00C" w14:textId="7932220B" w:rsidR="004041F3" w:rsidRPr="007F2669" w:rsidRDefault="004041F3" w:rsidP="0005760B">
      <w:pPr>
        <w:pStyle w:val="FootnoteText"/>
      </w:pPr>
      <w:r w:rsidRPr="00801C46">
        <w:rPr>
          <w:rStyle w:val="FootnoteReference"/>
        </w:rPr>
        <w:footnoteRef/>
      </w:r>
      <w:r w:rsidRPr="00801C46">
        <w:t xml:space="preserve"> </w:t>
      </w:r>
      <w:r w:rsidRPr="003A2F16">
        <w:t>For example, in some cases, agribusinesses are legally required to clear all the forest on their land (if it is destined as ‘agricultural land’ / productive land). In such instances, for the PPI approach to have success, it is crucial for the relevant government institutions to remove the legal requirement to clear all forest land and thereby support businesses that are willing to take a leadership role in PPI land use.</w:t>
      </w:r>
    </w:p>
  </w:footnote>
  <w:footnote w:id="25">
    <w:p w14:paraId="165CE6D3" w14:textId="4F4FD295" w:rsidR="004041F3" w:rsidRPr="004E78EC" w:rsidRDefault="004041F3" w:rsidP="0005760B">
      <w:pPr>
        <w:pStyle w:val="FootnoteText"/>
        <w:rPr>
          <w:lang w:val="en-US"/>
        </w:rPr>
      </w:pPr>
      <w:r>
        <w:rPr>
          <w:rStyle w:val="FootnoteReference"/>
        </w:rPr>
        <w:footnoteRef/>
      </w:r>
      <w:r>
        <w:t xml:space="preserve"> The &amp;Green Fund</w:t>
      </w:r>
      <w:r w:rsidRPr="004E78EC">
        <w:t xml:space="preserve"> was originally launched in January 2017 at the World Economic Forum by the Norwegian Prime Minister, Paul Polman on behalf of the Consumer Goods Forum, and Naoko Ishii, the CEO of the Global Environment Facility.</w:t>
      </w:r>
    </w:p>
  </w:footnote>
  <w:footnote w:id="26">
    <w:p w14:paraId="064C7626" w14:textId="4FDFC3AE" w:rsidR="004041F3" w:rsidRPr="007C7602" w:rsidRDefault="004041F3" w:rsidP="0005760B">
      <w:pPr>
        <w:pStyle w:val="FootnoteText"/>
        <w:rPr>
          <w:lang w:val="en-US"/>
        </w:rPr>
      </w:pPr>
      <w:r>
        <w:rPr>
          <w:rStyle w:val="FootnoteReference"/>
        </w:rPr>
        <w:footnoteRef/>
      </w:r>
      <w:r>
        <w:t xml:space="preserve"> </w:t>
      </w:r>
      <w:r>
        <w:rPr>
          <w:lang w:val="en-US"/>
        </w:rPr>
        <w:t xml:space="preserve">See </w:t>
      </w:r>
      <w:hyperlink r:id="rId4" w:history="1">
        <w:r w:rsidRPr="005F5D52">
          <w:rPr>
            <w:rStyle w:val="Hyperlink"/>
            <w:lang w:val="en-US"/>
          </w:rPr>
          <w:t>http://www.wri.org/blog/2015/05/what-does-it-really-mean-when-company-commits-%E2%80%9Czero-deforestation%E2%80%9D</w:t>
        </w:r>
      </w:hyperlink>
      <w:r>
        <w:rPr>
          <w:lang w:val="en-US"/>
        </w:rPr>
        <w:t xml:space="preserve"> for an explanation of the difference between “zero net deforestation” and “zero deforestation”.</w:t>
      </w:r>
    </w:p>
  </w:footnote>
  <w:footnote w:id="27">
    <w:p w14:paraId="522C4159" w14:textId="2DA9D873" w:rsidR="004041F3" w:rsidRPr="00CA2B94" w:rsidRDefault="004041F3" w:rsidP="0005760B">
      <w:pPr>
        <w:pStyle w:val="FootnoteText"/>
      </w:pPr>
      <w:r>
        <w:rPr>
          <w:rStyle w:val="FootnoteReference"/>
        </w:rPr>
        <w:footnoteRef/>
      </w:r>
      <w:r>
        <w:t>Assunção, J., Gandour, C.C., Rocha, R., 2013. Does credit affec</w:t>
      </w:r>
      <w:r>
        <w:rPr>
          <w:lang w:val="en-US"/>
        </w:rPr>
        <w:t xml:space="preserve">t </w:t>
      </w:r>
      <w:r>
        <w:t>deforestation? Evidence from a rural credit policy in the Brazilian</w:t>
      </w:r>
      <w:r>
        <w:rPr>
          <w:lang w:val="en-US"/>
        </w:rPr>
        <w:t xml:space="preserve"> </w:t>
      </w:r>
      <w:r>
        <w:t xml:space="preserve">Amazon. Climate Policy Initiative. Rio de Janeiro </w:t>
      </w:r>
    </w:p>
  </w:footnote>
  <w:footnote w:id="28">
    <w:p w14:paraId="3388A438" w14:textId="77777777" w:rsidR="004041F3" w:rsidRPr="008C6889" w:rsidRDefault="004041F3" w:rsidP="0005760B">
      <w:pPr>
        <w:pStyle w:val="FootnoteText"/>
        <w:rPr>
          <w:lang w:val="en-US"/>
        </w:rPr>
      </w:pPr>
      <w:r>
        <w:rPr>
          <w:rStyle w:val="FootnoteReference"/>
        </w:rPr>
        <w:footnoteRef/>
      </w:r>
      <w:r>
        <w:t xml:space="preserve"> </w:t>
      </w:r>
      <w:r w:rsidRPr="004A7897">
        <w:t>RSPO- Rou</w:t>
      </w:r>
      <w:r>
        <w:t>ndtable on Sustainable Palm Oil that is</w:t>
      </w:r>
      <w:r w:rsidRPr="004A7897">
        <w:t xml:space="preserve"> </w:t>
      </w:r>
      <w:r>
        <w:rPr>
          <w:lang w:val="en-US"/>
        </w:rPr>
        <w:t xml:space="preserve">now </w:t>
      </w:r>
      <w:r w:rsidRPr="004A7897">
        <w:t>the global sustainability standard for palm oil</w:t>
      </w:r>
      <w:r>
        <w:rPr>
          <w:lang w:val="en-US"/>
        </w:rPr>
        <w:t>.</w:t>
      </w:r>
    </w:p>
  </w:footnote>
  <w:footnote w:id="29">
    <w:p w14:paraId="69023A68" w14:textId="756DE74F" w:rsidR="004041F3" w:rsidRPr="006E75A3" w:rsidRDefault="004041F3" w:rsidP="0005760B">
      <w:pPr>
        <w:pStyle w:val="FootnoteText"/>
        <w:rPr>
          <w:lang w:val="en-US"/>
        </w:rPr>
      </w:pPr>
      <w:r w:rsidRPr="006E75A3">
        <w:rPr>
          <w:rStyle w:val="FootnoteReference"/>
        </w:rPr>
        <w:footnoteRef/>
      </w:r>
      <w:r w:rsidRPr="006E75A3">
        <w:t xml:space="preserve"> </w:t>
      </w:r>
      <w:r w:rsidRPr="006E75A3">
        <w:rPr>
          <w:lang w:val="en-US"/>
        </w:rPr>
        <w:t xml:space="preserve">An </w:t>
      </w:r>
      <w:r w:rsidRPr="006E75A3">
        <w:t>innovative market development initiative with a mission to make agricultural markets work better to improve the livelihoods of smallholder farmers in Liberia</w:t>
      </w:r>
    </w:p>
  </w:footnote>
  <w:footnote w:id="30">
    <w:p w14:paraId="7E350E2B" w14:textId="32728284" w:rsidR="004041F3" w:rsidRPr="006E75A3" w:rsidRDefault="004041F3" w:rsidP="0005760B">
      <w:pPr>
        <w:pStyle w:val="FootnoteText"/>
        <w:rPr>
          <w:lang w:val="en-US"/>
        </w:rPr>
      </w:pPr>
      <w:r w:rsidRPr="006E75A3">
        <w:rPr>
          <w:rStyle w:val="FootnoteReference"/>
        </w:rPr>
        <w:footnoteRef/>
      </w:r>
      <w:r w:rsidRPr="006E75A3">
        <w:t xml:space="preserve"> The fund shall invest exclusively in projects located in jurisdictions where the authorities demonstrate commitment to, and are making progress on, reducing deforestation. The purpose of the JEC and the </w:t>
      </w:r>
      <w:r w:rsidRPr="006E75A3">
        <w:rPr>
          <w:lang w:val="en-US"/>
        </w:rPr>
        <w:t xml:space="preserve">jurisdictional </w:t>
      </w:r>
      <w:r w:rsidRPr="006E75A3">
        <w:t>eligibility assessment and approval process is to help the Fund select jurisdictions where it can invest.</w:t>
      </w:r>
      <w:r w:rsidRPr="006E75A3">
        <w:rPr>
          <w:lang w:val="en-US"/>
        </w:rPr>
        <w:t xml:space="preserve"> (Environmental and Social Management Policy of the &amp;Green Fund).</w:t>
      </w:r>
    </w:p>
  </w:footnote>
  <w:footnote w:id="31">
    <w:p w14:paraId="5570AEF9" w14:textId="4019E7B4" w:rsidR="004041F3" w:rsidRPr="0037373F" w:rsidRDefault="004041F3" w:rsidP="0037373F">
      <w:pPr>
        <w:spacing w:after="0" w:line="240" w:lineRule="auto"/>
        <w:rPr>
          <w:rFonts w:ascii="Times New Roman" w:hAnsi="Times New Roman"/>
          <w:sz w:val="16"/>
          <w:szCs w:val="16"/>
          <w:lang w:eastAsia="x-none"/>
        </w:rPr>
      </w:pPr>
      <w:r w:rsidRPr="006E75A3">
        <w:rPr>
          <w:rStyle w:val="FootnoteReference"/>
          <w:rFonts w:ascii="Times New Roman" w:hAnsi="Times New Roman"/>
          <w:sz w:val="16"/>
          <w:szCs w:val="16"/>
        </w:rPr>
        <w:footnoteRef/>
      </w:r>
      <w:r w:rsidRPr="006E75A3">
        <w:rPr>
          <w:rStyle w:val="FootnoteTextChar"/>
          <w:rFonts w:eastAsia="SimSun"/>
          <w:lang w:val="en-US"/>
        </w:rPr>
        <w:t xml:space="preserve"> In the period </w:t>
      </w:r>
      <w:r w:rsidRPr="006E75A3">
        <w:rPr>
          <w:rStyle w:val="FootnoteTextChar"/>
          <w:rFonts w:eastAsia="SimSun"/>
        </w:rPr>
        <w:t xml:space="preserve">2018 through 2020, the estimated country-split of investments from &amp;Green Fund is: Brazil 52%, </w:t>
      </w:r>
      <w:r w:rsidRPr="006E75A3">
        <w:rPr>
          <w:rStyle w:val="FootnoteTextChar"/>
          <w:rFonts w:eastAsia="SimSun"/>
          <w:lang w:val="en-US"/>
        </w:rPr>
        <w:t xml:space="preserve">Indonesia </w:t>
      </w:r>
      <w:r w:rsidRPr="006E75A3">
        <w:rPr>
          <w:rStyle w:val="FootnoteTextChar"/>
          <w:rFonts w:eastAsia="SimSun"/>
        </w:rPr>
        <w:t xml:space="preserve">33%, </w:t>
      </w:r>
      <w:r w:rsidRPr="006E75A3">
        <w:rPr>
          <w:rStyle w:val="FootnoteTextChar"/>
          <w:rFonts w:eastAsia="SimSun"/>
          <w:lang w:val="en-US"/>
        </w:rPr>
        <w:t xml:space="preserve">Liberia </w:t>
      </w:r>
      <w:r w:rsidRPr="006E75A3">
        <w:rPr>
          <w:rStyle w:val="FootnoteTextChar"/>
          <w:rFonts w:eastAsia="SimSun"/>
        </w:rPr>
        <w:t xml:space="preserve">7%, </w:t>
      </w:r>
      <w:r w:rsidRPr="006E75A3">
        <w:rPr>
          <w:rStyle w:val="FootnoteTextChar"/>
          <w:rFonts w:eastAsia="SimSun"/>
          <w:lang w:val="en-US"/>
        </w:rPr>
        <w:t xml:space="preserve">other </w:t>
      </w:r>
      <w:r w:rsidRPr="006E75A3">
        <w:rPr>
          <w:rStyle w:val="FootnoteTextChar"/>
          <w:rFonts w:eastAsia="SimSun"/>
        </w:rPr>
        <w:t>8%</w:t>
      </w:r>
      <w:r w:rsidRPr="006E75A3">
        <w:rPr>
          <w:rStyle w:val="FootnoteTextChar"/>
          <w:rFonts w:eastAsia="SimSun"/>
          <w:lang w:val="en-US"/>
        </w:rPr>
        <w:t>.</w:t>
      </w:r>
    </w:p>
  </w:footnote>
  <w:footnote w:id="32">
    <w:p w14:paraId="644AE665" w14:textId="2D0EA2A3" w:rsidR="004041F3" w:rsidRPr="007C5A62" w:rsidRDefault="004041F3" w:rsidP="0005760B">
      <w:pPr>
        <w:pStyle w:val="FootnoteText"/>
      </w:pPr>
      <w:r>
        <w:rPr>
          <w:rStyle w:val="FootnoteReference"/>
        </w:rPr>
        <w:footnoteRef/>
      </w:r>
      <w:r>
        <w:t xml:space="preserve"> Information provided under </w:t>
      </w:r>
      <w:r>
        <w:rPr>
          <w:lang w:val="en-US"/>
        </w:rPr>
        <w:t xml:space="preserve">this output </w:t>
      </w:r>
      <w:r>
        <w:t xml:space="preserve">is in line with the </w:t>
      </w:r>
      <w:hyperlink r:id="rId5" w:history="1">
        <w:r w:rsidRPr="0005760B">
          <w:rPr>
            <w:rStyle w:val="Hyperlink"/>
          </w:rPr>
          <w:t>Lending Policy</w:t>
        </w:r>
      </w:hyperlink>
      <w:r>
        <w:t xml:space="preserve"> and </w:t>
      </w:r>
      <w:hyperlink r:id="rId6" w:history="1">
        <w:r w:rsidRPr="0005760B">
          <w:rPr>
            <w:rStyle w:val="Hyperlink"/>
          </w:rPr>
          <w:t>Environmental and Social Management Policy</w:t>
        </w:r>
      </w:hyperlink>
      <w:r>
        <w:t xml:space="preserve"> of the </w:t>
      </w:r>
      <w:r>
        <w:rPr>
          <w:lang w:val="en-US"/>
        </w:rPr>
        <w:t>&amp;Green Fund</w:t>
      </w:r>
      <w:r>
        <w:t>.</w:t>
      </w:r>
    </w:p>
  </w:footnote>
  <w:footnote w:id="33">
    <w:p w14:paraId="1C10D70E" w14:textId="77777777" w:rsidR="004041F3" w:rsidRDefault="004041F3" w:rsidP="0005760B">
      <w:pPr>
        <w:pStyle w:val="FootnoteText"/>
      </w:pPr>
      <w:r>
        <w:rPr>
          <w:rStyle w:val="FootnoteReference"/>
        </w:rPr>
        <w:footnoteRef/>
      </w:r>
      <w:r>
        <w:t xml:space="preserve"> T</w:t>
      </w:r>
      <w:r w:rsidRPr="00F36428">
        <w:t>his is an estimation based on current pipeline development. Changes in market conditions will affect the type of instrument</w:t>
      </w:r>
      <w:r>
        <w:rPr>
          <w:lang w:val="en-US"/>
        </w:rPr>
        <w:t>s</w:t>
      </w:r>
      <w:r w:rsidRPr="00F36428">
        <w:t xml:space="preserve"> needed to finance projects</w:t>
      </w:r>
      <w:r>
        <w:t>.</w:t>
      </w:r>
    </w:p>
  </w:footnote>
  <w:footnote w:id="34">
    <w:p w14:paraId="062829AC" w14:textId="77777777" w:rsidR="004041F3" w:rsidRDefault="004041F3" w:rsidP="0005760B">
      <w:pPr>
        <w:pStyle w:val="FootnoteText"/>
      </w:pPr>
      <w:r>
        <w:rPr>
          <w:rStyle w:val="FootnoteReference"/>
        </w:rPr>
        <w:footnoteRef/>
      </w:r>
      <w:r>
        <w:t xml:space="preserve"> This benefit is specific for the pilot in Brazil</w:t>
      </w:r>
      <w:r>
        <w:rPr>
          <w:lang w:val="en-US"/>
        </w:rPr>
        <w:t xml:space="preserve">, and represents </w:t>
      </w:r>
      <w:r w:rsidRPr="00880B71">
        <w:t>hectares of deforestation indirectly avoided</w:t>
      </w:r>
      <w:r>
        <w:t xml:space="preserve"> by expanding crop production to</w:t>
      </w:r>
      <w:r w:rsidRPr="00880B71">
        <w:t xml:space="preserve"> existing productive area</w:t>
      </w:r>
      <w:r>
        <w:rPr>
          <w:lang w:val="en-US"/>
        </w:rPr>
        <w:t>s</w:t>
      </w:r>
      <w:r>
        <w:t>.</w:t>
      </w:r>
    </w:p>
  </w:footnote>
  <w:footnote w:id="35">
    <w:p w14:paraId="795149F3" w14:textId="6A59EEC0" w:rsidR="004041F3" w:rsidRPr="00715430" w:rsidRDefault="004041F3" w:rsidP="0005760B">
      <w:pPr>
        <w:pStyle w:val="FootnoteText"/>
      </w:pPr>
      <w:r w:rsidRPr="006E75A3">
        <w:rPr>
          <w:rStyle w:val="FootnoteReference"/>
          <w:sz w:val="18"/>
          <w:szCs w:val="18"/>
        </w:rPr>
        <w:footnoteRef/>
      </w:r>
      <w:r w:rsidRPr="006E75A3">
        <w:t xml:space="preserve"> Using the FAO EX-ACT tool, the estimated CO</w:t>
      </w:r>
      <w:r w:rsidRPr="006E75A3">
        <w:rPr>
          <w:vertAlign w:val="subscript"/>
        </w:rPr>
        <w:t>2</w:t>
      </w:r>
      <w:r w:rsidRPr="006E75A3">
        <w:t xml:space="preserve"> emissions reductions to be realized through the project’s efforts to sustainably intensify agricultural production and secure agreements to conserve HCV/HCS forests through Landscape Protection Plans are </w:t>
      </w:r>
      <w:r w:rsidRPr="006E75A3">
        <w:rPr>
          <w:rFonts w:cstheme="minorHAnsi"/>
          <w:b/>
          <w:bCs/>
        </w:rPr>
        <w:fldChar w:fldCharType="begin"/>
      </w:r>
      <w:r w:rsidRPr="006E75A3">
        <w:rPr>
          <w:rFonts w:cstheme="minorHAnsi"/>
          <w:b/>
          <w:bCs/>
        </w:rPr>
        <w:instrText xml:space="preserve"> =SUM(LEFT) </w:instrText>
      </w:r>
      <w:r w:rsidRPr="006E75A3">
        <w:rPr>
          <w:rFonts w:cstheme="minorHAnsi"/>
          <w:b/>
          <w:bCs/>
        </w:rPr>
        <w:fldChar w:fldCharType="separate"/>
      </w:r>
      <w:r w:rsidRPr="006E75A3">
        <w:rPr>
          <w:rFonts w:cstheme="minorHAnsi"/>
          <w:b/>
          <w:bCs/>
          <w:noProof/>
        </w:rPr>
        <w:t>-45,078,757</w:t>
      </w:r>
      <w:r w:rsidRPr="006E75A3">
        <w:rPr>
          <w:rFonts w:cstheme="minorHAnsi"/>
          <w:b/>
          <w:bCs/>
        </w:rPr>
        <w:fldChar w:fldCharType="end"/>
      </w:r>
      <w:r w:rsidRPr="006E75A3">
        <w:t>. The estimation is over a 20 year period, as recommended by the tool. These estimates are based on a broad understanding of the total area to be impacted through the GEF-&amp;Green Fund investments and of how this area will be impacted. Once the investment process is underway in the target landscapes and &amp;Green Fund is working to assess invest-able projects from start to finish (based on its Lending Policy and Environmental and Social Management System), and transaction execution begins, it will be possible to get more accurate values for land area impacted by the GEF investment and how it is to be impacted. At that stage, the FAO EX-ACT tool can be applied to each investment transaction to assess contribution to the reduction of carbon emissions from Land Use, Land Use Change and Forestry. The individual country calculations and an explanation of assumptions are in Annex P.</w:t>
      </w:r>
    </w:p>
  </w:footnote>
  <w:footnote w:id="36">
    <w:p w14:paraId="42D77F0E" w14:textId="77777777" w:rsidR="004041F3" w:rsidRPr="005E139C" w:rsidRDefault="004041F3" w:rsidP="0005760B">
      <w:pPr>
        <w:pStyle w:val="FootnoteText"/>
        <w:rPr>
          <w:lang w:val="en-US"/>
        </w:rPr>
      </w:pPr>
      <w:r>
        <w:rPr>
          <w:rStyle w:val="FootnoteReference"/>
        </w:rPr>
        <w:footnoteRef/>
      </w:r>
      <w:r>
        <w:t xml:space="preserve"> </w:t>
      </w:r>
      <w:r w:rsidRPr="005E139C">
        <w:rPr>
          <w:lang w:eastAsia="ja-JP"/>
        </w:rPr>
        <w:t xml:space="preserve">As per the </w:t>
      </w:r>
      <w:r w:rsidRPr="005E139C">
        <w:t xml:space="preserve">GEF-6 Corporate Results Framework in the GEF Programming Directions and GEF-6 Gender Core Indicators in the Gender Equality Action Plan, provide information on these specific indicators on stakeholders (including civil society organization and indigenous peoples) and gender.  </w:t>
      </w:r>
    </w:p>
  </w:footnote>
  <w:footnote w:id="37">
    <w:p w14:paraId="4314B5CA" w14:textId="77777777" w:rsidR="004041F3" w:rsidRPr="00EE01D2" w:rsidRDefault="004041F3" w:rsidP="0005760B">
      <w:pPr>
        <w:pStyle w:val="FootnoteText"/>
      </w:pPr>
      <w:r>
        <w:rPr>
          <w:rStyle w:val="FootnoteReference"/>
        </w:rPr>
        <w:footnoteRef/>
      </w:r>
      <w:r>
        <w:t xml:space="preserve"> The three IAP programs of the GEF are Food Security, Commodities, and Cities. For more information  see </w:t>
      </w:r>
      <w:r w:rsidRPr="00EE01D2">
        <w:t>https://www.thegef.org/sites/default/files/council-meeting-documents/EN_GEF.C.50.Inf_.04_IAPs_0.pdf</w:t>
      </w:r>
    </w:p>
  </w:footnote>
  <w:footnote w:id="38">
    <w:p w14:paraId="0C8ED80F" w14:textId="77777777" w:rsidR="004041F3" w:rsidRDefault="004041F3" w:rsidP="0005760B">
      <w:pPr>
        <w:pStyle w:val="FootnoteText"/>
      </w:pPr>
      <w:r>
        <w:rPr>
          <w:rStyle w:val="FootnoteReference"/>
        </w:rPr>
        <w:footnoteRef/>
      </w:r>
      <w:r>
        <w:t xml:space="preserve"> Definitions:</w:t>
      </w:r>
    </w:p>
    <w:p w14:paraId="5F036A79" w14:textId="22D6FDDC" w:rsidR="004041F3" w:rsidRDefault="004041F3" w:rsidP="0005760B">
      <w:pPr>
        <w:pStyle w:val="FootnoteText"/>
      </w:pPr>
      <w:r>
        <w:t xml:space="preserve">Investors = contributors to the </w:t>
      </w:r>
      <w:r>
        <w:rPr>
          <w:lang w:val="en-US"/>
        </w:rPr>
        <w:t>&amp;Green Fund</w:t>
      </w:r>
    </w:p>
    <w:p w14:paraId="2118988C" w14:textId="77777777" w:rsidR="004041F3" w:rsidRDefault="004041F3" w:rsidP="0005760B">
      <w:pPr>
        <w:pStyle w:val="FootnoteText"/>
      </w:pPr>
      <w:r>
        <w:t>Beneficiaries or clients = investees/ sponsor companies/ smallholders, i.e. those who benefit from the finance</w:t>
      </w:r>
    </w:p>
    <w:p w14:paraId="47A0FE9D" w14:textId="1B03A3B3" w:rsidR="004041F3" w:rsidRPr="00BB65E1" w:rsidRDefault="004041F3" w:rsidP="0005760B">
      <w:pPr>
        <w:pStyle w:val="FootnoteText"/>
      </w:pPr>
      <w:r>
        <w:t xml:space="preserve">Co-investors = other investors alongside </w:t>
      </w:r>
      <w:r>
        <w:rPr>
          <w:lang w:val="en-US"/>
        </w:rPr>
        <w:t xml:space="preserve">&amp;Green Fund </w:t>
      </w:r>
      <w:r>
        <w:t>at project level</w:t>
      </w:r>
    </w:p>
  </w:footnote>
  <w:footnote w:id="39">
    <w:p w14:paraId="06549904" w14:textId="77777777" w:rsidR="004041F3" w:rsidRPr="00BB65E1" w:rsidRDefault="004041F3" w:rsidP="0005760B">
      <w:pPr>
        <w:pStyle w:val="FootnoteText"/>
      </w:pPr>
      <w:r>
        <w:rPr>
          <w:rStyle w:val="FootnoteReference"/>
        </w:rPr>
        <w:footnoteRef/>
      </w:r>
      <w:r>
        <w:t xml:space="preserve"> See definition in previous footnote.</w:t>
      </w:r>
    </w:p>
  </w:footnote>
  <w:footnote w:id="40">
    <w:p w14:paraId="7AED88DF" w14:textId="77777777" w:rsidR="004041F3" w:rsidRPr="00D770F1" w:rsidRDefault="004041F3" w:rsidP="0005760B">
      <w:pPr>
        <w:pStyle w:val="FootnoteText"/>
      </w:pPr>
      <w:r>
        <w:rPr>
          <w:rStyle w:val="FootnoteReference"/>
        </w:rPr>
        <w:footnoteRef/>
      </w:r>
      <w:r>
        <w:t xml:space="preserve"> </w:t>
      </w:r>
      <w:r w:rsidRPr="005E139C">
        <w:rPr>
          <w:lang w:eastAsia="ja-JP"/>
        </w:rPr>
        <w:t xml:space="preserve">As per the </w:t>
      </w:r>
      <w:r w:rsidRPr="005E139C">
        <w:t>GEF-6 Corporate Results Framework in the GEF Programming Directions and GEF-6 Gender Core Indicators in the Gender Equality Action Plan, provide information on these specific indicators on stakeholders (including civil society organization and i</w:t>
      </w:r>
      <w:r>
        <w:t>ndigenous peoples) and gender.</w:t>
      </w:r>
    </w:p>
  </w:footnote>
  <w:footnote w:id="41">
    <w:p w14:paraId="7C8A888D" w14:textId="5ACFF11C" w:rsidR="004041F3" w:rsidRPr="00DA01D7" w:rsidRDefault="004041F3" w:rsidP="0005760B">
      <w:pPr>
        <w:pStyle w:val="FootnoteText"/>
        <w:rPr>
          <w:lang w:val="en-US"/>
        </w:rPr>
      </w:pPr>
      <w:r>
        <w:rPr>
          <w:rStyle w:val="FootnoteReference"/>
        </w:rPr>
        <w:footnoteRef/>
      </w:r>
      <w:r>
        <w:t xml:space="preserve"> </w:t>
      </w:r>
      <w:r>
        <w:rPr>
          <w:lang w:val="en-US"/>
        </w:rPr>
        <w:t xml:space="preserve">Based on </w:t>
      </w:r>
      <w:r>
        <w:t xml:space="preserve">capitalization </w:t>
      </w:r>
      <w:r w:rsidRPr="0032176A">
        <w:t>at USD 400 million</w:t>
      </w:r>
      <w:r>
        <w:rPr>
          <w:lang w:val="en-US"/>
        </w:rPr>
        <w:t>.</w:t>
      </w:r>
    </w:p>
  </w:footnote>
  <w:footnote w:id="42">
    <w:p w14:paraId="23D9B290" w14:textId="459E8C98" w:rsidR="004041F3" w:rsidRPr="00B465B2" w:rsidRDefault="004041F3" w:rsidP="0005760B">
      <w:pPr>
        <w:pStyle w:val="FootnoteText"/>
      </w:pPr>
      <w:r>
        <w:rPr>
          <w:rStyle w:val="FootnoteReference"/>
        </w:rPr>
        <w:footnoteRef/>
      </w:r>
      <w:r>
        <w:t xml:space="preserve"> </w:t>
      </w:r>
      <w:r w:rsidRPr="00B465B2">
        <w:t>a) The jurisdiction itself must have an ambitious compensation level (certified by a disinterested third party) and deliver verified emissions reductions below that level, b) the appropriate jurisdictional authorities must give explicit permission to the project to claim credit for a portion of that results, and c) a transparent registry must exist to provide full transparency on all aspects as well as assurance against double counting/double claiming.</w:t>
      </w:r>
    </w:p>
  </w:footnote>
  <w:footnote w:id="43">
    <w:p w14:paraId="05A8D444" w14:textId="77777777" w:rsidR="004041F3" w:rsidRPr="003D599C" w:rsidRDefault="004041F3" w:rsidP="0005760B">
      <w:pPr>
        <w:pStyle w:val="FootnoteText"/>
      </w:pPr>
      <w:r>
        <w:rPr>
          <w:rStyle w:val="FootnoteReference"/>
        </w:rPr>
        <w:footnoteRef/>
      </w:r>
      <w:r>
        <w:t xml:space="preserve"> NAPs are the key instruments to implement the UNCCD in countries.</w:t>
      </w:r>
    </w:p>
  </w:footnote>
  <w:footnote w:id="44">
    <w:p w14:paraId="38E3F4EB" w14:textId="77777777" w:rsidR="004041F3" w:rsidRDefault="004041F3" w:rsidP="0005760B">
      <w:pPr>
        <w:pStyle w:val="FootnoteText"/>
      </w:pPr>
      <w:r>
        <w:rPr>
          <w:rStyle w:val="FootnoteReference"/>
        </w:rPr>
        <w:footnoteRef/>
      </w:r>
      <w:r>
        <w:t xml:space="preserve"> </w:t>
      </w:r>
      <w:r w:rsidRPr="000B61D7">
        <w:t>GEF policies encompass all managed trust funds, namely: GEFTF, LDCF, SCCF</w:t>
      </w:r>
      <w:r>
        <w:rPr>
          <w:lang w:val="en-US"/>
        </w:rPr>
        <w:t xml:space="preserve"> </w:t>
      </w:r>
      <w:r w:rsidRPr="00F91AB6">
        <w:rPr>
          <w:lang w:val="en-US"/>
        </w:rPr>
        <w:t>and CBIT</w:t>
      </w:r>
      <w:r>
        <w:t xml:space="preserve"> </w:t>
      </w:r>
    </w:p>
  </w:footnote>
  <w:footnote w:id="45">
    <w:p w14:paraId="0E16208D" w14:textId="77777777" w:rsidR="0097743C" w:rsidRPr="00FD58C9" w:rsidRDefault="0097743C" w:rsidP="0005760B">
      <w:pPr>
        <w:pStyle w:val="FootnoteText"/>
        <w:rPr>
          <w:lang w:val="en-US"/>
        </w:rPr>
      </w:pPr>
      <w:r w:rsidRPr="00FD58C9">
        <w:rPr>
          <w:rStyle w:val="FootnoteReference"/>
        </w:rPr>
        <w:footnoteRef/>
      </w:r>
      <w:r w:rsidRPr="00FD58C9">
        <w:t xml:space="preserve"> Defined as: The protection, care, management and maintenance of ecosystems, habitats, wildlife species and populations, within or outside of their natural environments, in order to safeguard the natural conditions for their long-term permanence (IUCN)</w:t>
      </w:r>
      <w:r>
        <w:t>.</w:t>
      </w:r>
    </w:p>
  </w:footnote>
  <w:footnote w:id="46">
    <w:p w14:paraId="1C37A866" w14:textId="77777777" w:rsidR="004041F3" w:rsidRPr="008D098B" w:rsidRDefault="004041F3" w:rsidP="0005760B">
      <w:pPr>
        <w:pStyle w:val="FootnoteText"/>
        <w:rPr>
          <w:lang w:val="en-US"/>
        </w:rPr>
      </w:pPr>
      <w:r>
        <w:rPr>
          <w:rStyle w:val="FootnoteReference"/>
        </w:rPr>
        <w:footnoteRef/>
      </w:r>
      <w:r>
        <w:t xml:space="preserve">   </w:t>
      </w:r>
      <w:r w:rsidRPr="001414B0">
        <w:t xml:space="preserve">If at CEO Endorsement, the PPG activities have not been completed and there is a balance of unspent fund, Agencies can continue </w:t>
      </w:r>
      <w:r>
        <w:rPr>
          <w:lang w:val="en-US"/>
        </w:rPr>
        <w:t xml:space="preserve">to </w:t>
      </w:r>
      <w:r w:rsidRPr="001414B0">
        <w:t>undertake the activities up to one year of project start.  No later than one year from start of project implementation, Agencies should report this table to the GEF Secretariat on the completion of PPG activities and the amount spent for the activities</w:t>
      </w:r>
      <w:r w:rsidRPr="008D098B">
        <w:t>.</w:t>
      </w:r>
      <w:r w:rsidRPr="008D098B">
        <w:rPr>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A4DB4"/>
    <w:multiLevelType w:val="hybridMultilevel"/>
    <w:tmpl w:val="01BA82F4"/>
    <w:lvl w:ilvl="0" w:tplc="2B1C1D78">
      <w:start w:val="2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5B0A9D"/>
    <w:multiLevelType w:val="hybridMultilevel"/>
    <w:tmpl w:val="B45A6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FC3118"/>
    <w:multiLevelType w:val="hybridMultilevel"/>
    <w:tmpl w:val="65D87A56"/>
    <w:lvl w:ilvl="0" w:tplc="04090001">
      <w:start w:val="1"/>
      <w:numFmt w:val="bullet"/>
      <w:lvlText w:val=""/>
      <w:lvlJc w:val="left"/>
      <w:pPr>
        <w:ind w:left="0" w:hanging="72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3" w15:restartNumberingAfterBreak="0">
    <w:nsid w:val="16E87253"/>
    <w:multiLevelType w:val="multilevel"/>
    <w:tmpl w:val="39E8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1A2A1E"/>
    <w:multiLevelType w:val="hybridMultilevel"/>
    <w:tmpl w:val="806C2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7019CA"/>
    <w:multiLevelType w:val="hybridMultilevel"/>
    <w:tmpl w:val="9D3CA2BC"/>
    <w:lvl w:ilvl="0" w:tplc="0809000F">
      <w:start w:val="1"/>
      <w:numFmt w:val="decimal"/>
      <w:lvlText w:val="%1."/>
      <w:lvlJc w:val="left"/>
      <w:pPr>
        <w:ind w:left="720" w:hanging="360"/>
      </w:pPr>
      <w:rPr>
        <w:rFonts w:hint="default"/>
      </w:rPr>
    </w:lvl>
    <w:lvl w:ilvl="1" w:tplc="AE5CA4C6">
      <w:numFmt w:val="bullet"/>
      <w:lvlText w:val="-"/>
      <w:lvlJc w:val="left"/>
      <w:pPr>
        <w:ind w:left="1440" w:hanging="360"/>
      </w:pPr>
      <w:rPr>
        <w:rFonts w:ascii="Times New Roman" w:eastAsiaTheme="minorEastAsia"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334F1E47"/>
    <w:multiLevelType w:val="hybridMultilevel"/>
    <w:tmpl w:val="DDB873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6FE6A0C"/>
    <w:multiLevelType w:val="hybridMultilevel"/>
    <w:tmpl w:val="933029C4"/>
    <w:lvl w:ilvl="0" w:tplc="A2089A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AB3853"/>
    <w:multiLevelType w:val="hybridMultilevel"/>
    <w:tmpl w:val="C430097A"/>
    <w:lvl w:ilvl="0" w:tplc="01D6E82C">
      <w:start w:val="1"/>
      <w:numFmt w:val="bullet"/>
      <w:pStyle w:val="Bullets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0" w15:restartNumberingAfterBreak="0">
    <w:nsid w:val="4D1023B2"/>
    <w:multiLevelType w:val="hybridMultilevel"/>
    <w:tmpl w:val="7E88BCF6"/>
    <w:lvl w:ilvl="0" w:tplc="AD2C208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7A4344"/>
    <w:multiLevelType w:val="hybridMultilevel"/>
    <w:tmpl w:val="5484E63C"/>
    <w:lvl w:ilvl="0" w:tplc="119AB11C">
      <w:start w:val="1"/>
      <w:numFmt w:val="bullet"/>
      <w:pStyle w:val="Bullets2"/>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A0B18C9"/>
    <w:multiLevelType w:val="hybridMultilevel"/>
    <w:tmpl w:val="CE0E85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5"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7" w15:restartNumberingAfterBreak="0">
    <w:nsid w:val="5DBE08B0"/>
    <w:multiLevelType w:val="multilevel"/>
    <w:tmpl w:val="CF4E76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32E24A8"/>
    <w:multiLevelType w:val="hybridMultilevel"/>
    <w:tmpl w:val="9C0E6C16"/>
    <w:lvl w:ilvl="0" w:tplc="72F0D74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8E273DF"/>
    <w:multiLevelType w:val="hybridMultilevel"/>
    <w:tmpl w:val="A680289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B630160"/>
    <w:multiLevelType w:val="hybridMultilevel"/>
    <w:tmpl w:val="82A8060A"/>
    <w:lvl w:ilvl="0" w:tplc="C924EF94">
      <w:numFmt w:val="bullet"/>
      <w:lvlText w:val=""/>
      <w:lvlJc w:val="left"/>
      <w:pPr>
        <w:ind w:left="0" w:hanging="720"/>
      </w:pPr>
      <w:rPr>
        <w:rFonts w:ascii="Symbol" w:eastAsia="Times New Roman" w:hAnsi="Symbol"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42" w15:restartNumberingAfterBreak="0">
    <w:nsid w:val="6BE9112D"/>
    <w:multiLevelType w:val="hybridMultilevel"/>
    <w:tmpl w:val="618EE0A8"/>
    <w:lvl w:ilvl="0" w:tplc="322E5A1A">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3" w15:restartNumberingAfterBreak="0">
    <w:nsid w:val="6E1444E3"/>
    <w:multiLevelType w:val="hybridMultilevel"/>
    <w:tmpl w:val="3AD0C79E"/>
    <w:lvl w:ilvl="0" w:tplc="81FAB856">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1A21F72"/>
    <w:multiLevelType w:val="hybridMultilevel"/>
    <w:tmpl w:val="FE186A4A"/>
    <w:lvl w:ilvl="0" w:tplc="21EE2908">
      <w:start w:val="1"/>
      <w:numFmt w:val="decimal"/>
      <w:pStyle w:val="Par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48" w15:restartNumberingAfterBreak="0">
    <w:nsid w:val="7A585A75"/>
    <w:multiLevelType w:val="hybridMultilevel"/>
    <w:tmpl w:val="EA7C1892"/>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0"/>
  </w:num>
  <w:num w:numId="2">
    <w:abstractNumId w:val="1"/>
  </w:num>
  <w:num w:numId="3">
    <w:abstractNumId w:val="7"/>
  </w:num>
  <w:num w:numId="4">
    <w:abstractNumId w:val="34"/>
  </w:num>
  <w:num w:numId="5">
    <w:abstractNumId w:val="8"/>
  </w:num>
  <w:num w:numId="6">
    <w:abstractNumId w:val="19"/>
  </w:num>
  <w:num w:numId="7">
    <w:abstractNumId w:val="9"/>
  </w:num>
  <w:num w:numId="8">
    <w:abstractNumId w:val="4"/>
  </w:num>
  <w:num w:numId="9">
    <w:abstractNumId w:val="47"/>
  </w:num>
  <w:num w:numId="10">
    <w:abstractNumId w:val="2"/>
  </w:num>
  <w:num w:numId="11">
    <w:abstractNumId w:val="10"/>
  </w:num>
  <w:num w:numId="12">
    <w:abstractNumId w:val="6"/>
  </w:num>
  <w:num w:numId="13">
    <w:abstractNumId w:val="5"/>
  </w:num>
  <w:num w:numId="14">
    <w:abstractNumId w:val="35"/>
  </w:num>
  <w:num w:numId="15">
    <w:abstractNumId w:val="46"/>
  </w:num>
  <w:num w:numId="16">
    <w:abstractNumId w:val="23"/>
  </w:num>
  <w:num w:numId="17">
    <w:abstractNumId w:val="22"/>
  </w:num>
  <w:num w:numId="18">
    <w:abstractNumId w:val="27"/>
  </w:num>
  <w:num w:numId="19">
    <w:abstractNumId w:val="15"/>
  </w:num>
  <w:num w:numId="20">
    <w:abstractNumId w:val="17"/>
  </w:num>
  <w:num w:numId="21">
    <w:abstractNumId w:val="44"/>
  </w:num>
  <w:num w:numId="22">
    <w:abstractNumId w:val="31"/>
  </w:num>
  <w:num w:numId="23">
    <w:abstractNumId w:val="16"/>
  </w:num>
  <w:num w:numId="24">
    <w:abstractNumId w:val="28"/>
  </w:num>
  <w:num w:numId="25">
    <w:abstractNumId w:val="3"/>
  </w:num>
  <w:num w:numId="26">
    <w:abstractNumId w:val="42"/>
  </w:num>
  <w:num w:numId="27">
    <w:abstractNumId w:val="36"/>
  </w:num>
  <w:num w:numId="28">
    <w:abstractNumId w:val="21"/>
  </w:num>
  <w:num w:numId="29">
    <w:abstractNumId w:val="18"/>
  </w:num>
  <w:num w:numId="30">
    <w:abstractNumId w:val="29"/>
  </w:num>
  <w:num w:numId="31">
    <w:abstractNumId w:val="24"/>
  </w:num>
  <w:num w:numId="32">
    <w:abstractNumId w:val="25"/>
  </w:num>
  <w:num w:numId="33">
    <w:abstractNumId w:val="12"/>
  </w:num>
  <w:num w:numId="34">
    <w:abstractNumId w:val="33"/>
  </w:num>
  <w:num w:numId="35">
    <w:abstractNumId w:val="13"/>
  </w:num>
  <w:num w:numId="36">
    <w:abstractNumId w:val="26"/>
  </w:num>
  <w:num w:numId="37">
    <w:abstractNumId w:val="32"/>
  </w:num>
  <w:num w:numId="38">
    <w:abstractNumId w:val="37"/>
  </w:num>
  <w:num w:numId="39">
    <w:abstractNumId w:val="43"/>
  </w:num>
  <w:num w:numId="40">
    <w:abstractNumId w:val="41"/>
  </w:num>
  <w:num w:numId="41">
    <w:abstractNumId w:val="11"/>
  </w:num>
  <w:num w:numId="42">
    <w:abstractNumId w:val="38"/>
  </w:num>
  <w:num w:numId="43">
    <w:abstractNumId w:val="48"/>
  </w:num>
  <w:num w:numId="44">
    <w:abstractNumId w:val="0"/>
  </w:num>
  <w:num w:numId="45">
    <w:abstractNumId w:val="14"/>
  </w:num>
  <w:num w:numId="46">
    <w:abstractNumId w:val="39"/>
  </w:num>
  <w:num w:numId="47">
    <w:abstractNumId w:val="20"/>
  </w:num>
  <w:num w:numId="48">
    <w:abstractNumId w:val="30"/>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3"/>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D40"/>
    <w:rsid w:val="00004224"/>
    <w:rsid w:val="00005AAD"/>
    <w:rsid w:val="00010049"/>
    <w:rsid w:val="00027009"/>
    <w:rsid w:val="00030E17"/>
    <w:rsid w:val="000405C3"/>
    <w:rsid w:val="0004274D"/>
    <w:rsid w:val="00044D8E"/>
    <w:rsid w:val="0004650E"/>
    <w:rsid w:val="0004701D"/>
    <w:rsid w:val="00051FAF"/>
    <w:rsid w:val="0005760B"/>
    <w:rsid w:val="0006134E"/>
    <w:rsid w:val="00063718"/>
    <w:rsid w:val="00071130"/>
    <w:rsid w:val="00071954"/>
    <w:rsid w:val="000749D7"/>
    <w:rsid w:val="000772AF"/>
    <w:rsid w:val="00086817"/>
    <w:rsid w:val="00092246"/>
    <w:rsid w:val="000A0395"/>
    <w:rsid w:val="000A51B1"/>
    <w:rsid w:val="000A5E70"/>
    <w:rsid w:val="000B2277"/>
    <w:rsid w:val="000B6B3A"/>
    <w:rsid w:val="000C0DDF"/>
    <w:rsid w:val="000C5BB9"/>
    <w:rsid w:val="000E196A"/>
    <w:rsid w:val="000E4191"/>
    <w:rsid w:val="000F5FCF"/>
    <w:rsid w:val="0010132F"/>
    <w:rsid w:val="00101D6E"/>
    <w:rsid w:val="00106F36"/>
    <w:rsid w:val="00113C77"/>
    <w:rsid w:val="00114393"/>
    <w:rsid w:val="00117F9F"/>
    <w:rsid w:val="00122799"/>
    <w:rsid w:val="00126DF9"/>
    <w:rsid w:val="00134D65"/>
    <w:rsid w:val="00137951"/>
    <w:rsid w:val="00147394"/>
    <w:rsid w:val="00152C8A"/>
    <w:rsid w:val="00161873"/>
    <w:rsid w:val="00162673"/>
    <w:rsid w:val="001652B1"/>
    <w:rsid w:val="0019393D"/>
    <w:rsid w:val="001962E2"/>
    <w:rsid w:val="00197CE9"/>
    <w:rsid w:val="001A21FA"/>
    <w:rsid w:val="001A5812"/>
    <w:rsid w:val="001A6FAC"/>
    <w:rsid w:val="001C14F7"/>
    <w:rsid w:val="001C463F"/>
    <w:rsid w:val="001C537E"/>
    <w:rsid w:val="001C7163"/>
    <w:rsid w:val="001E5193"/>
    <w:rsid w:val="001E6207"/>
    <w:rsid w:val="001E7BBC"/>
    <w:rsid w:val="001F22F7"/>
    <w:rsid w:val="001F2856"/>
    <w:rsid w:val="001F2994"/>
    <w:rsid w:val="001F418D"/>
    <w:rsid w:val="001F6F8D"/>
    <w:rsid w:val="002028E4"/>
    <w:rsid w:val="0020724B"/>
    <w:rsid w:val="00212D88"/>
    <w:rsid w:val="00216598"/>
    <w:rsid w:val="0021673D"/>
    <w:rsid w:val="00217044"/>
    <w:rsid w:val="00221A83"/>
    <w:rsid w:val="00223773"/>
    <w:rsid w:val="002454B7"/>
    <w:rsid w:val="002472F1"/>
    <w:rsid w:val="00250D19"/>
    <w:rsid w:val="00251FEC"/>
    <w:rsid w:val="00254429"/>
    <w:rsid w:val="002547EC"/>
    <w:rsid w:val="00257CB4"/>
    <w:rsid w:val="002626A0"/>
    <w:rsid w:val="002736E1"/>
    <w:rsid w:val="00280BF9"/>
    <w:rsid w:val="00281144"/>
    <w:rsid w:val="0028159C"/>
    <w:rsid w:val="00285D8F"/>
    <w:rsid w:val="0029342D"/>
    <w:rsid w:val="00294ECC"/>
    <w:rsid w:val="0029676A"/>
    <w:rsid w:val="002A1F36"/>
    <w:rsid w:val="002A3346"/>
    <w:rsid w:val="002A70DF"/>
    <w:rsid w:val="002B1B84"/>
    <w:rsid w:val="002C11CB"/>
    <w:rsid w:val="002C294B"/>
    <w:rsid w:val="002C2D01"/>
    <w:rsid w:val="002D198E"/>
    <w:rsid w:val="002F0AD4"/>
    <w:rsid w:val="002F0CDB"/>
    <w:rsid w:val="002F3EB2"/>
    <w:rsid w:val="00303F27"/>
    <w:rsid w:val="00303F8C"/>
    <w:rsid w:val="003117F6"/>
    <w:rsid w:val="00314EB3"/>
    <w:rsid w:val="0032279E"/>
    <w:rsid w:val="00324ED7"/>
    <w:rsid w:val="00327D9A"/>
    <w:rsid w:val="003339FD"/>
    <w:rsid w:val="00335F1C"/>
    <w:rsid w:val="00343DDC"/>
    <w:rsid w:val="00353269"/>
    <w:rsid w:val="00371C61"/>
    <w:rsid w:val="0037373F"/>
    <w:rsid w:val="00374D5D"/>
    <w:rsid w:val="00375938"/>
    <w:rsid w:val="0037713D"/>
    <w:rsid w:val="00384AB5"/>
    <w:rsid w:val="00391044"/>
    <w:rsid w:val="00393A14"/>
    <w:rsid w:val="003944FD"/>
    <w:rsid w:val="00395AE5"/>
    <w:rsid w:val="00397AF1"/>
    <w:rsid w:val="003A27EA"/>
    <w:rsid w:val="003A2F16"/>
    <w:rsid w:val="003A4F0F"/>
    <w:rsid w:val="003B5CC5"/>
    <w:rsid w:val="003C19D3"/>
    <w:rsid w:val="003C2B89"/>
    <w:rsid w:val="003D2B60"/>
    <w:rsid w:val="003D44D1"/>
    <w:rsid w:val="003E19D2"/>
    <w:rsid w:val="003E24F0"/>
    <w:rsid w:val="004041F3"/>
    <w:rsid w:val="00404532"/>
    <w:rsid w:val="00416858"/>
    <w:rsid w:val="00424AB2"/>
    <w:rsid w:val="00436880"/>
    <w:rsid w:val="00441582"/>
    <w:rsid w:val="00442BF9"/>
    <w:rsid w:val="0044456B"/>
    <w:rsid w:val="0044556C"/>
    <w:rsid w:val="0045528F"/>
    <w:rsid w:val="004552D4"/>
    <w:rsid w:val="00457ED2"/>
    <w:rsid w:val="0046305F"/>
    <w:rsid w:val="00464109"/>
    <w:rsid w:val="00465EB6"/>
    <w:rsid w:val="00471C25"/>
    <w:rsid w:val="00472C69"/>
    <w:rsid w:val="00473424"/>
    <w:rsid w:val="00480E6C"/>
    <w:rsid w:val="00481D2B"/>
    <w:rsid w:val="00485B2C"/>
    <w:rsid w:val="004A6A2E"/>
    <w:rsid w:val="004B3FD6"/>
    <w:rsid w:val="004C5FD8"/>
    <w:rsid w:val="004D4B79"/>
    <w:rsid w:val="004D559F"/>
    <w:rsid w:val="004D785B"/>
    <w:rsid w:val="004E3C3F"/>
    <w:rsid w:val="004E78EC"/>
    <w:rsid w:val="00503148"/>
    <w:rsid w:val="00503E57"/>
    <w:rsid w:val="005044D2"/>
    <w:rsid w:val="005159AB"/>
    <w:rsid w:val="005161E2"/>
    <w:rsid w:val="00521FF1"/>
    <w:rsid w:val="00522558"/>
    <w:rsid w:val="00526E59"/>
    <w:rsid w:val="00527CBD"/>
    <w:rsid w:val="00532088"/>
    <w:rsid w:val="00543932"/>
    <w:rsid w:val="0054630D"/>
    <w:rsid w:val="00554260"/>
    <w:rsid w:val="00561828"/>
    <w:rsid w:val="00566100"/>
    <w:rsid w:val="0057417C"/>
    <w:rsid w:val="00576855"/>
    <w:rsid w:val="00582ACC"/>
    <w:rsid w:val="005919F3"/>
    <w:rsid w:val="0059457F"/>
    <w:rsid w:val="005A027D"/>
    <w:rsid w:val="005A4305"/>
    <w:rsid w:val="005A5C6B"/>
    <w:rsid w:val="005A7684"/>
    <w:rsid w:val="005A7F39"/>
    <w:rsid w:val="005B3C8B"/>
    <w:rsid w:val="005B55C8"/>
    <w:rsid w:val="005C59F3"/>
    <w:rsid w:val="005D05ED"/>
    <w:rsid w:val="005E7596"/>
    <w:rsid w:val="00600919"/>
    <w:rsid w:val="00600B61"/>
    <w:rsid w:val="006047A2"/>
    <w:rsid w:val="00606561"/>
    <w:rsid w:val="00610126"/>
    <w:rsid w:val="006113B9"/>
    <w:rsid w:val="006243E5"/>
    <w:rsid w:val="006545D3"/>
    <w:rsid w:val="00662C65"/>
    <w:rsid w:val="00663F83"/>
    <w:rsid w:val="00674B66"/>
    <w:rsid w:val="00677829"/>
    <w:rsid w:val="00682580"/>
    <w:rsid w:val="0068372B"/>
    <w:rsid w:val="00684DFB"/>
    <w:rsid w:val="00690966"/>
    <w:rsid w:val="00696322"/>
    <w:rsid w:val="006A07E8"/>
    <w:rsid w:val="006A621D"/>
    <w:rsid w:val="006A6C7F"/>
    <w:rsid w:val="006B0DFA"/>
    <w:rsid w:val="006C2638"/>
    <w:rsid w:val="006C6928"/>
    <w:rsid w:val="006C75DE"/>
    <w:rsid w:val="006C7A17"/>
    <w:rsid w:val="006E1DB6"/>
    <w:rsid w:val="006E75A3"/>
    <w:rsid w:val="006F20CB"/>
    <w:rsid w:val="00700256"/>
    <w:rsid w:val="007044F0"/>
    <w:rsid w:val="00704566"/>
    <w:rsid w:val="00704773"/>
    <w:rsid w:val="00707340"/>
    <w:rsid w:val="00722849"/>
    <w:rsid w:val="00723473"/>
    <w:rsid w:val="00723A50"/>
    <w:rsid w:val="00725266"/>
    <w:rsid w:val="007301E8"/>
    <w:rsid w:val="00732266"/>
    <w:rsid w:val="007349FE"/>
    <w:rsid w:val="00745090"/>
    <w:rsid w:val="00750014"/>
    <w:rsid w:val="007645A2"/>
    <w:rsid w:val="00771F65"/>
    <w:rsid w:val="00785475"/>
    <w:rsid w:val="0078666B"/>
    <w:rsid w:val="007910B2"/>
    <w:rsid w:val="00793AEE"/>
    <w:rsid w:val="007953FE"/>
    <w:rsid w:val="00797CB6"/>
    <w:rsid w:val="007A0B1B"/>
    <w:rsid w:val="007A1100"/>
    <w:rsid w:val="007B17A4"/>
    <w:rsid w:val="007B4DD6"/>
    <w:rsid w:val="007B7E66"/>
    <w:rsid w:val="007C5A62"/>
    <w:rsid w:val="007C674D"/>
    <w:rsid w:val="007C7602"/>
    <w:rsid w:val="007D2794"/>
    <w:rsid w:val="007D28C6"/>
    <w:rsid w:val="007D2ADF"/>
    <w:rsid w:val="007D4696"/>
    <w:rsid w:val="007E0087"/>
    <w:rsid w:val="007E32C8"/>
    <w:rsid w:val="007E4B21"/>
    <w:rsid w:val="007E61ED"/>
    <w:rsid w:val="007F2669"/>
    <w:rsid w:val="007F404D"/>
    <w:rsid w:val="007F5F4C"/>
    <w:rsid w:val="007F7C33"/>
    <w:rsid w:val="00801C46"/>
    <w:rsid w:val="00803FAC"/>
    <w:rsid w:val="008144CD"/>
    <w:rsid w:val="008147EF"/>
    <w:rsid w:val="00814E83"/>
    <w:rsid w:val="00817998"/>
    <w:rsid w:val="00825FC5"/>
    <w:rsid w:val="00827490"/>
    <w:rsid w:val="0084062B"/>
    <w:rsid w:val="0084216F"/>
    <w:rsid w:val="00861631"/>
    <w:rsid w:val="00862386"/>
    <w:rsid w:val="008631F5"/>
    <w:rsid w:val="0086777A"/>
    <w:rsid w:val="00871928"/>
    <w:rsid w:val="00880086"/>
    <w:rsid w:val="0088767A"/>
    <w:rsid w:val="008B6739"/>
    <w:rsid w:val="008C0BB8"/>
    <w:rsid w:val="008C3FE9"/>
    <w:rsid w:val="008C44FD"/>
    <w:rsid w:val="008C74DC"/>
    <w:rsid w:val="008D1170"/>
    <w:rsid w:val="008E2CB3"/>
    <w:rsid w:val="008E5468"/>
    <w:rsid w:val="008E6D2C"/>
    <w:rsid w:val="008F4B76"/>
    <w:rsid w:val="008F5206"/>
    <w:rsid w:val="008F6880"/>
    <w:rsid w:val="00910AD6"/>
    <w:rsid w:val="00914B73"/>
    <w:rsid w:val="0091537C"/>
    <w:rsid w:val="0091552C"/>
    <w:rsid w:val="00916BED"/>
    <w:rsid w:val="00922EB7"/>
    <w:rsid w:val="0092443B"/>
    <w:rsid w:val="009370EF"/>
    <w:rsid w:val="00957B56"/>
    <w:rsid w:val="00965372"/>
    <w:rsid w:val="00971167"/>
    <w:rsid w:val="009718AD"/>
    <w:rsid w:val="0097743C"/>
    <w:rsid w:val="009938B3"/>
    <w:rsid w:val="00993FA2"/>
    <w:rsid w:val="00997A13"/>
    <w:rsid w:val="00997C6B"/>
    <w:rsid w:val="009B1A54"/>
    <w:rsid w:val="009C0330"/>
    <w:rsid w:val="009C05CF"/>
    <w:rsid w:val="009C2949"/>
    <w:rsid w:val="009D543E"/>
    <w:rsid w:val="009E1B30"/>
    <w:rsid w:val="009E6BC5"/>
    <w:rsid w:val="009F6C31"/>
    <w:rsid w:val="00A02AAF"/>
    <w:rsid w:val="00A0369A"/>
    <w:rsid w:val="00A05373"/>
    <w:rsid w:val="00A10AC2"/>
    <w:rsid w:val="00A13214"/>
    <w:rsid w:val="00A14A4F"/>
    <w:rsid w:val="00A20AFA"/>
    <w:rsid w:val="00A20D55"/>
    <w:rsid w:val="00A37E0A"/>
    <w:rsid w:val="00A413CC"/>
    <w:rsid w:val="00A431FF"/>
    <w:rsid w:val="00A50CD5"/>
    <w:rsid w:val="00A564CC"/>
    <w:rsid w:val="00A6287D"/>
    <w:rsid w:val="00A643B4"/>
    <w:rsid w:val="00A654A5"/>
    <w:rsid w:val="00A76956"/>
    <w:rsid w:val="00A77FDA"/>
    <w:rsid w:val="00A8728E"/>
    <w:rsid w:val="00A92161"/>
    <w:rsid w:val="00A965FD"/>
    <w:rsid w:val="00AA18A3"/>
    <w:rsid w:val="00AB6EDC"/>
    <w:rsid w:val="00AC0A18"/>
    <w:rsid w:val="00AC4DDF"/>
    <w:rsid w:val="00AC5C94"/>
    <w:rsid w:val="00AD2861"/>
    <w:rsid w:val="00AD68C8"/>
    <w:rsid w:val="00AE1CBC"/>
    <w:rsid w:val="00AF24EF"/>
    <w:rsid w:val="00AF2E3B"/>
    <w:rsid w:val="00AF3030"/>
    <w:rsid w:val="00AF32E4"/>
    <w:rsid w:val="00AF6EE8"/>
    <w:rsid w:val="00B005C7"/>
    <w:rsid w:val="00B03D75"/>
    <w:rsid w:val="00B07EE1"/>
    <w:rsid w:val="00B124AB"/>
    <w:rsid w:val="00B171AF"/>
    <w:rsid w:val="00B2363E"/>
    <w:rsid w:val="00B23C77"/>
    <w:rsid w:val="00B3080A"/>
    <w:rsid w:val="00B37DAC"/>
    <w:rsid w:val="00B40B90"/>
    <w:rsid w:val="00B42295"/>
    <w:rsid w:val="00B447D6"/>
    <w:rsid w:val="00B465B2"/>
    <w:rsid w:val="00B50892"/>
    <w:rsid w:val="00B520D1"/>
    <w:rsid w:val="00B6283C"/>
    <w:rsid w:val="00B6523D"/>
    <w:rsid w:val="00B6728E"/>
    <w:rsid w:val="00B672CA"/>
    <w:rsid w:val="00B70670"/>
    <w:rsid w:val="00B714B3"/>
    <w:rsid w:val="00B75CD4"/>
    <w:rsid w:val="00B77D72"/>
    <w:rsid w:val="00B8305F"/>
    <w:rsid w:val="00B86CF7"/>
    <w:rsid w:val="00B947AD"/>
    <w:rsid w:val="00B979B2"/>
    <w:rsid w:val="00BA46AF"/>
    <w:rsid w:val="00BA70C7"/>
    <w:rsid w:val="00BA7B22"/>
    <w:rsid w:val="00BB65E1"/>
    <w:rsid w:val="00BC72F4"/>
    <w:rsid w:val="00BD31EA"/>
    <w:rsid w:val="00BD3591"/>
    <w:rsid w:val="00BE63A2"/>
    <w:rsid w:val="00BF0A92"/>
    <w:rsid w:val="00BF30E2"/>
    <w:rsid w:val="00BF69B1"/>
    <w:rsid w:val="00C01902"/>
    <w:rsid w:val="00C17C15"/>
    <w:rsid w:val="00C229C6"/>
    <w:rsid w:val="00C33662"/>
    <w:rsid w:val="00C33B99"/>
    <w:rsid w:val="00C3578E"/>
    <w:rsid w:val="00C455C8"/>
    <w:rsid w:val="00C52429"/>
    <w:rsid w:val="00C53EAC"/>
    <w:rsid w:val="00C56D0F"/>
    <w:rsid w:val="00C602AE"/>
    <w:rsid w:val="00C65B55"/>
    <w:rsid w:val="00C705D3"/>
    <w:rsid w:val="00C7102D"/>
    <w:rsid w:val="00C76187"/>
    <w:rsid w:val="00C82ACE"/>
    <w:rsid w:val="00C9194B"/>
    <w:rsid w:val="00C970F0"/>
    <w:rsid w:val="00CA0428"/>
    <w:rsid w:val="00CA2B94"/>
    <w:rsid w:val="00CA3069"/>
    <w:rsid w:val="00CA3415"/>
    <w:rsid w:val="00CA6195"/>
    <w:rsid w:val="00CC0A66"/>
    <w:rsid w:val="00CC1639"/>
    <w:rsid w:val="00CC1CD3"/>
    <w:rsid w:val="00CC71D0"/>
    <w:rsid w:val="00D13C38"/>
    <w:rsid w:val="00D16DEE"/>
    <w:rsid w:val="00D179E1"/>
    <w:rsid w:val="00D24087"/>
    <w:rsid w:val="00D25D40"/>
    <w:rsid w:val="00D33369"/>
    <w:rsid w:val="00D33E9B"/>
    <w:rsid w:val="00D342E8"/>
    <w:rsid w:val="00D46460"/>
    <w:rsid w:val="00D61790"/>
    <w:rsid w:val="00D624E3"/>
    <w:rsid w:val="00D66E0E"/>
    <w:rsid w:val="00D709C2"/>
    <w:rsid w:val="00D7284C"/>
    <w:rsid w:val="00D74D72"/>
    <w:rsid w:val="00D75655"/>
    <w:rsid w:val="00D76F33"/>
    <w:rsid w:val="00D93633"/>
    <w:rsid w:val="00DA01D7"/>
    <w:rsid w:val="00DA555E"/>
    <w:rsid w:val="00DB0574"/>
    <w:rsid w:val="00DB128C"/>
    <w:rsid w:val="00DB279B"/>
    <w:rsid w:val="00DC08CB"/>
    <w:rsid w:val="00DC5FBE"/>
    <w:rsid w:val="00DC7AB0"/>
    <w:rsid w:val="00DD79A3"/>
    <w:rsid w:val="00DE1086"/>
    <w:rsid w:val="00DE2501"/>
    <w:rsid w:val="00DE4720"/>
    <w:rsid w:val="00DF71D6"/>
    <w:rsid w:val="00E03161"/>
    <w:rsid w:val="00E03816"/>
    <w:rsid w:val="00E1043A"/>
    <w:rsid w:val="00E1284A"/>
    <w:rsid w:val="00E17B40"/>
    <w:rsid w:val="00E2209F"/>
    <w:rsid w:val="00E26A81"/>
    <w:rsid w:val="00E26F83"/>
    <w:rsid w:val="00E3048F"/>
    <w:rsid w:val="00E32302"/>
    <w:rsid w:val="00E560B7"/>
    <w:rsid w:val="00E60A4B"/>
    <w:rsid w:val="00E667AF"/>
    <w:rsid w:val="00E715A6"/>
    <w:rsid w:val="00E72577"/>
    <w:rsid w:val="00E90A17"/>
    <w:rsid w:val="00E92AFA"/>
    <w:rsid w:val="00EA10BD"/>
    <w:rsid w:val="00EA6134"/>
    <w:rsid w:val="00EB05F0"/>
    <w:rsid w:val="00EC2C4A"/>
    <w:rsid w:val="00EC7250"/>
    <w:rsid w:val="00ED54AE"/>
    <w:rsid w:val="00EE484D"/>
    <w:rsid w:val="00EF0DA6"/>
    <w:rsid w:val="00EF28F6"/>
    <w:rsid w:val="00EF4252"/>
    <w:rsid w:val="00EF7CAA"/>
    <w:rsid w:val="00F03E71"/>
    <w:rsid w:val="00F049E5"/>
    <w:rsid w:val="00F20A19"/>
    <w:rsid w:val="00F234C1"/>
    <w:rsid w:val="00F27B8A"/>
    <w:rsid w:val="00F34F35"/>
    <w:rsid w:val="00F35C0D"/>
    <w:rsid w:val="00F36F20"/>
    <w:rsid w:val="00F514DB"/>
    <w:rsid w:val="00F533BE"/>
    <w:rsid w:val="00F72EF7"/>
    <w:rsid w:val="00F75A8B"/>
    <w:rsid w:val="00F805EE"/>
    <w:rsid w:val="00F84D0B"/>
    <w:rsid w:val="00F8758F"/>
    <w:rsid w:val="00F93330"/>
    <w:rsid w:val="00FA1BA3"/>
    <w:rsid w:val="00FA27F9"/>
    <w:rsid w:val="00FA2997"/>
    <w:rsid w:val="00FA3B65"/>
    <w:rsid w:val="00FA74EE"/>
    <w:rsid w:val="00FB2B2A"/>
    <w:rsid w:val="00FB2BA5"/>
    <w:rsid w:val="00FB63F6"/>
    <w:rsid w:val="00FC1102"/>
    <w:rsid w:val="00FC15EE"/>
    <w:rsid w:val="00FC3FA5"/>
    <w:rsid w:val="00FC6205"/>
    <w:rsid w:val="00FD212A"/>
    <w:rsid w:val="00FD39B0"/>
    <w:rsid w:val="00FE0E9D"/>
    <w:rsid w:val="00FE4BDF"/>
    <w:rsid w:val="00FF4730"/>
    <w:rsid w:val="00FF4747"/>
    <w:rsid w:val="00FF58E9"/>
    <w:rsid w:val="00FF6FC4"/>
    <w:rsid w:val="00FF7C9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59BBB5"/>
  <w15:docId w15:val="{3C3C5A31-0A89-4B42-A01A-C25EFAC80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25D40"/>
    <w:pPr>
      <w:spacing w:after="200" w:line="276" w:lineRule="auto"/>
    </w:pPr>
    <w:rPr>
      <w:rFonts w:ascii="Calibri" w:eastAsia="SimSun" w:hAnsi="Calibri" w:cs="Times New Roman"/>
    </w:rPr>
  </w:style>
  <w:style w:type="paragraph" w:styleId="Heading1">
    <w:name w:val="heading 1"/>
    <w:basedOn w:val="Normal"/>
    <w:next w:val="Normal"/>
    <w:link w:val="Heading1Char"/>
    <w:autoRedefine/>
    <w:qFormat/>
    <w:rsid w:val="00DE1086"/>
    <w:pPr>
      <w:keepNext/>
      <w:spacing w:before="240" w:after="0" w:line="240" w:lineRule="auto"/>
      <w:outlineLvl w:val="0"/>
    </w:pPr>
    <w:rPr>
      <w:rFonts w:ascii="Times New Roman" w:eastAsia="Times New Roman" w:hAnsi="Times New Roman"/>
      <w:b/>
      <w:bCs/>
      <w:szCs w:val="24"/>
      <w:lang w:val="x-none" w:eastAsia="x-none"/>
    </w:rPr>
  </w:style>
  <w:style w:type="paragraph" w:styleId="Heading2">
    <w:name w:val="heading 2"/>
    <w:basedOn w:val="Normal"/>
    <w:next w:val="Normal"/>
    <w:link w:val="Heading2Char"/>
    <w:autoRedefine/>
    <w:qFormat/>
    <w:rsid w:val="00D25D40"/>
    <w:pPr>
      <w:keepNext/>
      <w:spacing w:before="120" w:after="120" w:line="240" w:lineRule="auto"/>
      <w:outlineLvl w:val="1"/>
    </w:pPr>
    <w:rPr>
      <w:rFonts w:ascii="Times New Roman" w:eastAsia="Times New Roman" w:hAnsi="Times New Roman"/>
      <w:iCs/>
      <w:u w:val="single"/>
      <w:lang w:eastAsia="x-none"/>
    </w:rPr>
  </w:style>
  <w:style w:type="paragraph" w:styleId="Heading3">
    <w:name w:val="heading 3"/>
    <w:basedOn w:val="Normal"/>
    <w:next w:val="Normal"/>
    <w:link w:val="Heading3Char"/>
    <w:autoRedefine/>
    <w:qFormat/>
    <w:rsid w:val="00D25D40"/>
    <w:pPr>
      <w:keepNext/>
      <w:spacing w:before="120" w:after="0" w:line="240" w:lineRule="auto"/>
      <w:outlineLvl w:val="2"/>
    </w:pPr>
    <w:rPr>
      <w:rFonts w:ascii="Times New Roman" w:eastAsia="Times New Roman" w:hAnsi="Times New Roman"/>
      <w:bCs/>
      <w:i/>
      <w:lang w:val="x-none" w:eastAsia="x-none"/>
    </w:rPr>
  </w:style>
  <w:style w:type="paragraph" w:styleId="Heading4">
    <w:name w:val="heading 4"/>
    <w:basedOn w:val="Normal"/>
    <w:next w:val="Normal"/>
    <w:link w:val="Heading4Char"/>
    <w:uiPriority w:val="9"/>
    <w:qFormat/>
    <w:rsid w:val="00D25D4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D25D4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D25D4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D25D4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D25D4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D25D4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04274D"/>
    <w:rPr>
      <w:color w:val="0563C1" w:themeColor="hyperlink"/>
      <w:u w:val="single"/>
    </w:rPr>
  </w:style>
  <w:style w:type="character" w:customStyle="1" w:styleId="Heading1Char">
    <w:name w:val="Heading 1 Char"/>
    <w:basedOn w:val="DefaultParagraphFont"/>
    <w:link w:val="Heading1"/>
    <w:rsid w:val="00DE1086"/>
    <w:rPr>
      <w:rFonts w:ascii="Times New Roman" w:eastAsia="Times New Roman" w:hAnsi="Times New Roman" w:cs="Times New Roman"/>
      <w:b/>
      <w:bCs/>
      <w:szCs w:val="24"/>
      <w:lang w:val="x-none" w:eastAsia="x-none"/>
    </w:rPr>
  </w:style>
  <w:style w:type="character" w:customStyle="1" w:styleId="Heading2Char">
    <w:name w:val="Heading 2 Char"/>
    <w:basedOn w:val="DefaultParagraphFont"/>
    <w:link w:val="Heading2"/>
    <w:rsid w:val="00D25D40"/>
    <w:rPr>
      <w:rFonts w:ascii="Times New Roman" w:eastAsia="Times New Roman" w:hAnsi="Times New Roman" w:cs="Times New Roman"/>
      <w:iCs/>
      <w:u w:val="single"/>
      <w:lang w:eastAsia="x-none"/>
    </w:rPr>
  </w:style>
  <w:style w:type="character" w:customStyle="1" w:styleId="Heading3Char">
    <w:name w:val="Heading 3 Char"/>
    <w:basedOn w:val="DefaultParagraphFont"/>
    <w:link w:val="Heading3"/>
    <w:rsid w:val="00D25D40"/>
    <w:rPr>
      <w:rFonts w:ascii="Times New Roman" w:eastAsia="Times New Roman" w:hAnsi="Times New Roman" w:cs="Times New Roman"/>
      <w:bCs/>
      <w:i/>
      <w:lang w:val="x-none" w:eastAsia="x-none"/>
    </w:rPr>
  </w:style>
  <w:style w:type="character" w:customStyle="1" w:styleId="Heading4Char">
    <w:name w:val="Heading 4 Char"/>
    <w:basedOn w:val="DefaultParagraphFont"/>
    <w:link w:val="Heading4"/>
    <w:uiPriority w:val="9"/>
    <w:rsid w:val="00D25D40"/>
    <w:rPr>
      <w:rFonts w:ascii="Times New Roman Bold" w:eastAsia="Times New Roman" w:hAnsi="Times New Roman Bold" w:cs="Times New Roman"/>
      <w:b/>
      <w:smallCaps/>
      <w:color w:val="FFFFFF"/>
      <w:sz w:val="24"/>
      <w:szCs w:val="24"/>
      <w:shd w:val="clear" w:color="auto" w:fill="595959"/>
      <w:lang w:val="x-none" w:eastAsia="x-none"/>
    </w:rPr>
  </w:style>
  <w:style w:type="character" w:customStyle="1" w:styleId="Heading5Char">
    <w:name w:val="Heading 5 Char"/>
    <w:basedOn w:val="DefaultParagraphFont"/>
    <w:link w:val="Heading5"/>
    <w:rsid w:val="00D25D40"/>
    <w:rPr>
      <w:rFonts w:ascii="Times New Roman" w:eastAsia="Times New Roman" w:hAnsi="Times New Roman" w:cs="Times New Roman"/>
      <w:b/>
      <w:bCs/>
      <w:sz w:val="24"/>
      <w:szCs w:val="24"/>
      <w:lang w:val="x-none" w:eastAsia="x-none"/>
    </w:rPr>
  </w:style>
  <w:style w:type="character" w:customStyle="1" w:styleId="Heading6Char">
    <w:name w:val="Heading 6 Char"/>
    <w:basedOn w:val="DefaultParagraphFont"/>
    <w:link w:val="Heading6"/>
    <w:rsid w:val="00D25D40"/>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D25D40"/>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D25D40"/>
    <w:rPr>
      <w:rFonts w:ascii="Times New Roman" w:eastAsia="Times New Roman" w:hAnsi="Times New Roman" w:cs="Times New Roman"/>
      <w:b/>
      <w:bCs/>
      <w:sz w:val="20"/>
      <w:szCs w:val="24"/>
      <w:lang w:val="x-none" w:eastAsia="x-none"/>
    </w:rPr>
  </w:style>
  <w:style w:type="character" w:customStyle="1" w:styleId="Heading9Char">
    <w:name w:val="Heading 9 Char"/>
    <w:basedOn w:val="DefaultParagraphFont"/>
    <w:link w:val="Heading9"/>
    <w:rsid w:val="00D25D40"/>
    <w:rPr>
      <w:rFonts w:ascii="Times New Roman" w:eastAsia="Times New Roman" w:hAnsi="Times New Roman" w:cs="Times New Roman"/>
      <w:b/>
      <w:bCs/>
      <w:sz w:val="24"/>
      <w:szCs w:val="24"/>
      <w:lang w:val="x-none" w:eastAsia="x-none"/>
    </w:rPr>
  </w:style>
  <w:style w:type="numbering" w:customStyle="1" w:styleId="NoList1">
    <w:name w:val="No List1"/>
    <w:next w:val="NoList"/>
    <w:semiHidden/>
    <w:rsid w:val="00D25D40"/>
  </w:style>
  <w:style w:type="paragraph" w:styleId="Footer">
    <w:name w:val="footer"/>
    <w:basedOn w:val="Normal"/>
    <w:link w:val="FooterChar"/>
    <w:uiPriority w:val="99"/>
    <w:rsid w:val="00D25D4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D25D4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D25D40"/>
  </w:style>
  <w:style w:type="paragraph" w:styleId="Header">
    <w:name w:val="header"/>
    <w:basedOn w:val="Normal"/>
    <w:link w:val="HeaderChar"/>
    <w:uiPriority w:val="99"/>
    <w:rsid w:val="00D25D4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basedOn w:val="DefaultParagraphFont"/>
    <w:link w:val="Header"/>
    <w:uiPriority w:val="99"/>
    <w:rsid w:val="00D25D4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D25D4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basedOn w:val="DefaultParagraphFont"/>
    <w:link w:val="BodyText"/>
    <w:rsid w:val="00D25D40"/>
    <w:rPr>
      <w:rFonts w:ascii="Times New Roman" w:eastAsia="Times New Roman" w:hAnsi="Times New Roman" w:cs="Times New Roman"/>
      <w:sz w:val="20"/>
      <w:szCs w:val="24"/>
      <w:lang w:val="x-none" w:eastAsia="x-none"/>
    </w:rPr>
  </w:style>
  <w:style w:type="paragraph" w:styleId="Caption">
    <w:name w:val="caption"/>
    <w:basedOn w:val="Normal"/>
    <w:next w:val="Normal"/>
    <w:uiPriority w:val="99"/>
    <w:qFormat/>
    <w:rsid w:val="00D25D4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D25D4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basedOn w:val="DefaultParagraphFont"/>
    <w:link w:val="BodyText2"/>
    <w:rsid w:val="00D25D40"/>
    <w:rPr>
      <w:rFonts w:ascii="Times New Roman" w:eastAsia="Times New Roman" w:hAnsi="Times New Roman" w:cs="Times New Roman"/>
      <w:b/>
      <w:bCs/>
      <w:smallCaps/>
      <w:sz w:val="24"/>
      <w:szCs w:val="24"/>
      <w:lang w:val="x-none" w:eastAsia="x-none"/>
    </w:rPr>
  </w:style>
  <w:style w:type="paragraph" w:customStyle="1" w:styleId="Outline">
    <w:name w:val="Outline"/>
    <w:basedOn w:val="Normal"/>
    <w:rsid w:val="00D25D4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D25D4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basedOn w:val="DefaultParagraphFont"/>
    <w:link w:val="BodyTextIndent2"/>
    <w:rsid w:val="00D25D40"/>
    <w:rPr>
      <w:rFonts w:ascii="Times New Roman" w:eastAsia="Times New Roman" w:hAnsi="Times New Roman" w:cs="Times New Roman"/>
      <w:i/>
      <w:iCs/>
      <w:sz w:val="20"/>
      <w:szCs w:val="24"/>
      <w:lang w:val="x-none" w:eastAsia="x-none"/>
    </w:rPr>
  </w:style>
  <w:style w:type="paragraph" w:styleId="BodyTextIndent">
    <w:name w:val="Body Text Indent"/>
    <w:basedOn w:val="Normal"/>
    <w:link w:val="BodyTextIndentChar"/>
    <w:rsid w:val="00D25D4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basedOn w:val="DefaultParagraphFont"/>
    <w:link w:val="BodyTextIndent"/>
    <w:rsid w:val="00D25D40"/>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rsid w:val="00D25D4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basedOn w:val="DefaultParagraphFont"/>
    <w:link w:val="BodyTextIndent3"/>
    <w:rsid w:val="00D25D40"/>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rsid w:val="00D25D40"/>
    <w:pPr>
      <w:spacing w:after="0"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D25D40"/>
    <w:rPr>
      <w:rFonts w:ascii="Tahoma" w:eastAsia="Times New Roman" w:hAnsi="Tahoma" w:cs="Times New Roman"/>
      <w:sz w:val="16"/>
      <w:szCs w:val="16"/>
      <w:lang w:val="x-none" w:eastAsia="x-none"/>
    </w:rPr>
  </w:style>
  <w:style w:type="table" w:styleId="TableGrid">
    <w:name w:val="Table Grid"/>
    <w:basedOn w:val="TableNormal"/>
    <w:uiPriority w:val="59"/>
    <w:rsid w:val="00D25D4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footnote text,ADB"/>
    <w:basedOn w:val="Normal"/>
    <w:link w:val="FootnoteTextChar"/>
    <w:autoRedefine/>
    <w:uiPriority w:val="99"/>
    <w:qFormat/>
    <w:rsid w:val="0005760B"/>
    <w:pPr>
      <w:spacing w:after="0" w:line="240" w:lineRule="auto"/>
    </w:pPr>
    <w:rPr>
      <w:rFonts w:ascii="Times New Roman" w:eastAsia="Times New Roman" w:hAnsi="Times New Roman"/>
      <w:sz w:val="16"/>
      <w:szCs w:val="16"/>
      <w:lang w:val="x-none" w:eastAsia="x-none"/>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link w:val="FootnoteText"/>
    <w:uiPriority w:val="99"/>
    <w:rsid w:val="0005760B"/>
    <w:rPr>
      <w:rFonts w:ascii="Times New Roman" w:eastAsia="Times New Roman" w:hAnsi="Times New Roman" w:cs="Times New Roman"/>
      <w:sz w:val="16"/>
      <w:szCs w:val="16"/>
      <w:lang w:val="x-none" w:eastAsia="x-none"/>
    </w:rPr>
  </w:style>
  <w:style w:type="character" w:styleId="FootnoteReference">
    <w:name w:val="footnote reference"/>
    <w:aliases w:val="16 Point,Superscript 6 Point,Superscript 6 Point + 11 pt,ftref,BVI fnr,BVI fnr Car Car,BVI fnr Car,BVI fnr Car Car Car Car,Footnote text, BVI fnr,fr, BVI fnr Car Car, BVI fnr Car Car Car Car,SUPERS,Footnote Reference Superscript,Ref,o"/>
    <w:rsid w:val="00D25D40"/>
    <w:rPr>
      <w:vertAlign w:val="superscript"/>
    </w:rPr>
  </w:style>
  <w:style w:type="character" w:styleId="FollowedHyperlink">
    <w:name w:val="FollowedHyperlink"/>
    <w:uiPriority w:val="99"/>
    <w:rsid w:val="00D25D40"/>
    <w:rPr>
      <w:color w:val="606420"/>
      <w:u w:val="single"/>
    </w:rPr>
  </w:style>
  <w:style w:type="paragraph" w:styleId="DocumentMap">
    <w:name w:val="Document Map"/>
    <w:basedOn w:val="Normal"/>
    <w:link w:val="DocumentMapChar"/>
    <w:semiHidden/>
    <w:rsid w:val="00D25D4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semiHidden/>
    <w:rsid w:val="00D25D40"/>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D25D4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D25D4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8F4B76"/>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D25D4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D25D40"/>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D25D4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D25D4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D25D4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D25D40"/>
    <w:rPr>
      <w:rFonts w:ascii="Arial" w:eastAsia="Times New Roman" w:hAnsi="Arial" w:cs="Times New Roman"/>
      <w:vanish/>
      <w:sz w:val="16"/>
      <w:szCs w:val="16"/>
      <w:lang w:val="x-none" w:eastAsia="x-none"/>
    </w:rPr>
  </w:style>
  <w:style w:type="character" w:styleId="CommentReference">
    <w:name w:val="annotation reference"/>
    <w:rsid w:val="00D25D40"/>
    <w:rPr>
      <w:sz w:val="16"/>
      <w:szCs w:val="16"/>
    </w:rPr>
  </w:style>
  <w:style w:type="paragraph" w:styleId="CommentText">
    <w:name w:val="annotation text"/>
    <w:basedOn w:val="Normal"/>
    <w:link w:val="CommentTextChar"/>
    <w:rsid w:val="00D25D4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rsid w:val="00D25D40"/>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rsid w:val="00D25D40"/>
    <w:rPr>
      <w:b/>
      <w:bCs/>
    </w:rPr>
  </w:style>
  <w:style w:type="character" w:customStyle="1" w:styleId="CommentSubjectChar">
    <w:name w:val="Comment Subject Char"/>
    <w:basedOn w:val="CommentTextChar"/>
    <w:link w:val="CommentSubject"/>
    <w:uiPriority w:val="99"/>
    <w:rsid w:val="00D25D4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D25D40"/>
  </w:style>
  <w:style w:type="numbering" w:customStyle="1" w:styleId="NoList11">
    <w:name w:val="No List11"/>
    <w:next w:val="NoList"/>
    <w:semiHidden/>
    <w:rsid w:val="00D25D40"/>
  </w:style>
  <w:style w:type="table" w:customStyle="1" w:styleId="TableGrid1">
    <w:name w:val="Table Grid1"/>
    <w:basedOn w:val="TableNormal"/>
    <w:next w:val="TableGrid"/>
    <w:rsid w:val="00D25D4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D25D40"/>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D25D40"/>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D25D40"/>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D25D40"/>
    <w:rPr>
      <w:rFonts w:ascii="Times New Roman" w:eastAsia="Times New Roman" w:hAnsi="Times New Roman" w:cs="Times New Roman"/>
      <w:color w:val="000000"/>
    </w:rPr>
  </w:style>
  <w:style w:type="paragraph" w:customStyle="1" w:styleId="Tableheading">
    <w:name w:val="Table heading"/>
    <w:basedOn w:val="Normal"/>
    <w:link w:val="TableheadingChar"/>
    <w:autoRedefine/>
    <w:qFormat/>
    <w:rsid w:val="00D46460"/>
    <w:pPr>
      <w:spacing w:after="0" w:line="240" w:lineRule="auto"/>
    </w:pPr>
    <w:rPr>
      <w:rFonts w:ascii="Times New Roman" w:eastAsia="Times New Roman" w:hAnsi="Times New Roman"/>
      <w:b/>
      <w:color w:val="000000"/>
      <w:sz w:val="20"/>
      <w:szCs w:val="20"/>
      <w:lang w:val="en-GB"/>
    </w:rPr>
  </w:style>
  <w:style w:type="paragraph" w:customStyle="1" w:styleId="Tabletext">
    <w:name w:val="Table text"/>
    <w:basedOn w:val="Normal"/>
    <w:autoRedefine/>
    <w:qFormat/>
    <w:rsid w:val="00371C61"/>
    <w:pPr>
      <w:spacing w:after="0" w:line="240" w:lineRule="auto"/>
    </w:pPr>
    <w:rPr>
      <w:rFonts w:ascii="Times New Roman" w:hAnsi="Times New Roman"/>
      <w:color w:val="000000"/>
      <w:sz w:val="20"/>
      <w:szCs w:val="20"/>
      <w:lang w:val="en-GB"/>
    </w:rPr>
  </w:style>
  <w:style w:type="paragraph" w:customStyle="1" w:styleId="Para">
    <w:name w:val="Para"/>
    <w:autoRedefine/>
    <w:qFormat/>
    <w:rsid w:val="00B37DAC"/>
    <w:pPr>
      <w:numPr>
        <w:numId w:val="49"/>
      </w:numPr>
      <w:tabs>
        <w:tab w:val="left" w:pos="540"/>
      </w:tabs>
      <w:spacing w:before="120" w:after="120" w:line="240" w:lineRule="auto"/>
      <w:ind w:left="0" w:firstLine="0"/>
    </w:pPr>
    <w:rPr>
      <w:rFonts w:ascii="Times New Roman" w:eastAsia="Times New Roman" w:hAnsi="Times New Roman" w:cs="Times New Roman"/>
      <w:color w:val="000000"/>
    </w:rPr>
  </w:style>
  <w:style w:type="paragraph" w:styleId="Subtitle">
    <w:name w:val="Subtitle"/>
    <w:basedOn w:val="Normal"/>
    <w:next w:val="Normal"/>
    <w:link w:val="SubtitleChar"/>
    <w:uiPriority w:val="11"/>
    <w:qFormat/>
    <w:rsid w:val="00D25D40"/>
    <w:pPr>
      <w:spacing w:after="60"/>
      <w:jc w:val="center"/>
      <w:outlineLvl w:val="1"/>
    </w:pPr>
    <w:rPr>
      <w:rFonts w:ascii="Calibri Light" w:eastAsia="Times New Roman" w:hAnsi="Calibri Light"/>
      <w:sz w:val="24"/>
      <w:szCs w:val="24"/>
    </w:rPr>
  </w:style>
  <w:style w:type="character" w:customStyle="1" w:styleId="SubtitleChar">
    <w:name w:val="Subtitle Char"/>
    <w:basedOn w:val="DefaultParagraphFont"/>
    <w:link w:val="Subtitle"/>
    <w:uiPriority w:val="11"/>
    <w:rsid w:val="00D25D40"/>
    <w:rPr>
      <w:rFonts w:ascii="Calibri Light" w:eastAsia="Times New Roman" w:hAnsi="Calibri Light" w:cs="Times New Roman"/>
      <w:sz w:val="24"/>
      <w:szCs w:val="24"/>
    </w:rPr>
  </w:style>
  <w:style w:type="character" w:styleId="SubtleEmphasis">
    <w:name w:val="Subtle Emphasis"/>
    <w:uiPriority w:val="19"/>
    <w:qFormat/>
    <w:rsid w:val="00D25D40"/>
    <w:rPr>
      <w:i/>
      <w:iCs/>
      <w:color w:val="404040"/>
    </w:rPr>
  </w:style>
  <w:style w:type="character" w:styleId="Emphasis">
    <w:name w:val="Emphasis"/>
    <w:uiPriority w:val="20"/>
    <w:qFormat/>
    <w:rsid w:val="00D25D40"/>
    <w:rPr>
      <w:i/>
      <w:iCs/>
    </w:rPr>
  </w:style>
  <w:style w:type="character" w:styleId="IntenseEmphasis">
    <w:name w:val="Intense Emphasis"/>
    <w:uiPriority w:val="21"/>
    <w:qFormat/>
    <w:rsid w:val="00D25D40"/>
    <w:rPr>
      <w:i/>
      <w:iCs/>
      <w:color w:val="5B9BD5"/>
    </w:rPr>
  </w:style>
  <w:style w:type="character" w:styleId="Strong">
    <w:name w:val="Strong"/>
    <w:uiPriority w:val="22"/>
    <w:qFormat/>
    <w:rsid w:val="00D25D40"/>
    <w:rPr>
      <w:b/>
      <w:bCs/>
    </w:rPr>
  </w:style>
  <w:style w:type="paragraph" w:styleId="Quote">
    <w:name w:val="Quote"/>
    <w:basedOn w:val="Normal"/>
    <w:next w:val="Normal"/>
    <w:link w:val="QuoteChar"/>
    <w:uiPriority w:val="29"/>
    <w:qFormat/>
    <w:rsid w:val="00D25D40"/>
    <w:pPr>
      <w:spacing w:before="200" w:after="160"/>
      <w:ind w:left="864" w:right="864"/>
      <w:jc w:val="center"/>
    </w:pPr>
    <w:rPr>
      <w:i/>
      <w:iCs/>
      <w:color w:val="404040"/>
    </w:rPr>
  </w:style>
  <w:style w:type="character" w:customStyle="1" w:styleId="QuoteChar">
    <w:name w:val="Quote Char"/>
    <w:basedOn w:val="DefaultParagraphFont"/>
    <w:link w:val="Quote"/>
    <w:uiPriority w:val="29"/>
    <w:rsid w:val="00D25D40"/>
    <w:rPr>
      <w:rFonts w:ascii="Calibri" w:eastAsia="SimSun" w:hAnsi="Calibri" w:cs="Times New Roman"/>
      <w:i/>
      <w:iCs/>
      <w:color w:val="404040"/>
    </w:rPr>
  </w:style>
  <w:style w:type="paragraph" w:customStyle="1" w:styleId="Bullets1">
    <w:name w:val="Bullets1"/>
    <w:basedOn w:val="Normal"/>
    <w:autoRedefine/>
    <w:qFormat/>
    <w:rsid w:val="00F533BE"/>
    <w:pPr>
      <w:numPr>
        <w:numId w:val="36"/>
      </w:numPr>
      <w:spacing w:after="40" w:line="240" w:lineRule="auto"/>
      <w:ind w:left="648" w:hanging="288"/>
    </w:pPr>
    <w:rPr>
      <w:rFonts w:ascii="Times New Roman" w:eastAsia="Times New Roman" w:hAnsi="Times New Roman"/>
      <w:color w:val="000000"/>
    </w:rPr>
  </w:style>
  <w:style w:type="paragraph" w:customStyle="1" w:styleId="Bullets2">
    <w:name w:val="Bullets2"/>
    <w:basedOn w:val="Bullets1"/>
    <w:autoRedefine/>
    <w:qFormat/>
    <w:rsid w:val="00254429"/>
    <w:pPr>
      <w:numPr>
        <w:numId w:val="37"/>
      </w:numPr>
    </w:pPr>
  </w:style>
  <w:style w:type="character" w:customStyle="1" w:styleId="name">
    <w:name w:val="name"/>
    <w:rsid w:val="00D25D40"/>
  </w:style>
  <w:style w:type="character" w:customStyle="1" w:styleId="apple-converted-space">
    <w:name w:val="apple-converted-space"/>
    <w:rsid w:val="00D25D40"/>
  </w:style>
  <w:style w:type="character" w:customStyle="1" w:styleId="TableheadingChar">
    <w:name w:val="Table heading Char"/>
    <w:link w:val="Tableheading"/>
    <w:rsid w:val="00D46460"/>
    <w:rPr>
      <w:rFonts w:ascii="Times New Roman" w:eastAsia="Times New Roman" w:hAnsi="Times New Roman" w:cs="Times New Roman"/>
      <w:b/>
      <w:color w:val="000000"/>
      <w:sz w:val="20"/>
      <w:szCs w:val="20"/>
      <w:lang w:val="en-GB"/>
    </w:rPr>
  </w:style>
  <w:style w:type="character" w:customStyle="1" w:styleId="ColorfulList-Accent1Char">
    <w:name w:val="Colorful List - Accent 1 Char"/>
    <w:aliases w:val="FootNote Char"/>
    <w:link w:val="ColorfulList-Accent1"/>
    <w:uiPriority w:val="34"/>
    <w:locked/>
    <w:rsid w:val="00D25D40"/>
    <w:rPr>
      <w:rFonts w:ascii="Times New Roman Bold" w:hAnsi="Times New Roman Bold"/>
      <w:b/>
      <w:smallCaps/>
      <w:noProof/>
      <w:color w:val="000000"/>
      <w:sz w:val="22"/>
      <w:szCs w:val="22"/>
      <w:lang w:val="en-GB"/>
    </w:rPr>
  </w:style>
  <w:style w:type="table" w:styleId="ColorfulList-Accent1">
    <w:name w:val="Colorful List Accent 1"/>
    <w:basedOn w:val="TableNormal"/>
    <w:link w:val="ColorfulList-Accent1Char"/>
    <w:uiPriority w:val="34"/>
    <w:unhideWhenUsed/>
    <w:rsid w:val="00D25D40"/>
    <w:pPr>
      <w:spacing w:after="0" w:line="240" w:lineRule="auto"/>
    </w:pPr>
    <w:rPr>
      <w:rFonts w:ascii="Times New Roman Bold" w:hAnsi="Times New Roman Bold"/>
      <w:b/>
      <w:smallCaps/>
      <w:noProof/>
      <w:color w:val="000000"/>
      <w:lang w:val="en-GB"/>
    </w:rPr>
    <w:tblPr>
      <w:tblStyleRowBandSize w:val="1"/>
      <w:tblStyleColBandSize w:val="1"/>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Annexheading">
    <w:name w:val="Annex heading"/>
    <w:basedOn w:val="Normal"/>
    <w:autoRedefine/>
    <w:qFormat/>
    <w:rsid w:val="003339FD"/>
    <w:pPr>
      <w:tabs>
        <w:tab w:val="left" w:pos="1080"/>
      </w:tabs>
      <w:spacing w:after="240" w:line="240" w:lineRule="auto"/>
    </w:pPr>
    <w:rPr>
      <w:rFonts w:ascii="Times New Roman Bold" w:eastAsia="Times New Roman" w:hAnsi="Times New Roman Bold"/>
      <w:b/>
      <w:smallCaps/>
      <w:color w:val="000000"/>
    </w:rPr>
  </w:style>
  <w:style w:type="paragraph" w:styleId="TOC2">
    <w:name w:val="toc 2"/>
    <w:basedOn w:val="Normal"/>
    <w:next w:val="Normal"/>
    <w:autoRedefine/>
    <w:uiPriority w:val="39"/>
    <w:unhideWhenUsed/>
    <w:rsid w:val="00D25D40"/>
    <w:pPr>
      <w:spacing w:after="0"/>
      <w:ind w:left="220"/>
    </w:pPr>
    <w:rPr>
      <w:rFonts w:cs="Calibri"/>
      <w:smallCaps/>
      <w:sz w:val="20"/>
      <w:szCs w:val="20"/>
    </w:rPr>
  </w:style>
  <w:style w:type="paragraph" w:styleId="TOC3">
    <w:name w:val="toc 3"/>
    <w:basedOn w:val="Normal"/>
    <w:next w:val="Normal"/>
    <w:autoRedefine/>
    <w:uiPriority w:val="39"/>
    <w:unhideWhenUsed/>
    <w:rsid w:val="00D25D40"/>
    <w:pPr>
      <w:spacing w:after="0"/>
      <w:ind w:left="440"/>
    </w:pPr>
    <w:rPr>
      <w:rFonts w:cs="Calibri"/>
      <w:i/>
      <w:iCs/>
      <w:sz w:val="20"/>
      <w:szCs w:val="20"/>
    </w:rPr>
  </w:style>
  <w:style w:type="paragraph" w:styleId="TOC4">
    <w:name w:val="toc 4"/>
    <w:basedOn w:val="Normal"/>
    <w:next w:val="Normal"/>
    <w:autoRedefine/>
    <w:uiPriority w:val="39"/>
    <w:unhideWhenUsed/>
    <w:rsid w:val="00D25D40"/>
    <w:pPr>
      <w:spacing w:after="0"/>
      <w:ind w:left="660"/>
    </w:pPr>
    <w:rPr>
      <w:rFonts w:cs="Calibri"/>
      <w:sz w:val="18"/>
      <w:szCs w:val="18"/>
    </w:rPr>
  </w:style>
  <w:style w:type="paragraph" w:styleId="TOC5">
    <w:name w:val="toc 5"/>
    <w:basedOn w:val="Normal"/>
    <w:next w:val="Normal"/>
    <w:autoRedefine/>
    <w:uiPriority w:val="39"/>
    <w:unhideWhenUsed/>
    <w:rsid w:val="00D25D40"/>
    <w:pPr>
      <w:spacing w:after="0"/>
      <w:ind w:left="880"/>
    </w:pPr>
    <w:rPr>
      <w:rFonts w:cs="Calibri"/>
      <w:sz w:val="18"/>
      <w:szCs w:val="18"/>
    </w:rPr>
  </w:style>
  <w:style w:type="paragraph" w:styleId="TOC6">
    <w:name w:val="toc 6"/>
    <w:basedOn w:val="Normal"/>
    <w:next w:val="Normal"/>
    <w:autoRedefine/>
    <w:uiPriority w:val="39"/>
    <w:unhideWhenUsed/>
    <w:rsid w:val="00D25D40"/>
    <w:pPr>
      <w:spacing w:after="0"/>
      <w:ind w:left="1100"/>
    </w:pPr>
    <w:rPr>
      <w:rFonts w:cs="Calibri"/>
      <w:sz w:val="18"/>
      <w:szCs w:val="18"/>
    </w:rPr>
  </w:style>
  <w:style w:type="paragraph" w:styleId="TOC7">
    <w:name w:val="toc 7"/>
    <w:basedOn w:val="Normal"/>
    <w:next w:val="Normal"/>
    <w:autoRedefine/>
    <w:uiPriority w:val="39"/>
    <w:unhideWhenUsed/>
    <w:rsid w:val="00D25D40"/>
    <w:pPr>
      <w:spacing w:after="0"/>
      <w:ind w:left="1320"/>
    </w:pPr>
    <w:rPr>
      <w:rFonts w:cs="Calibri"/>
      <w:sz w:val="18"/>
      <w:szCs w:val="18"/>
    </w:rPr>
  </w:style>
  <w:style w:type="paragraph" w:styleId="TOC8">
    <w:name w:val="toc 8"/>
    <w:basedOn w:val="Normal"/>
    <w:next w:val="Normal"/>
    <w:autoRedefine/>
    <w:uiPriority w:val="39"/>
    <w:unhideWhenUsed/>
    <w:rsid w:val="00D25D40"/>
    <w:pPr>
      <w:spacing w:after="0"/>
      <w:ind w:left="1540"/>
    </w:pPr>
    <w:rPr>
      <w:rFonts w:cs="Calibri"/>
      <w:sz w:val="18"/>
      <w:szCs w:val="18"/>
    </w:rPr>
  </w:style>
  <w:style w:type="paragraph" w:styleId="TOC9">
    <w:name w:val="toc 9"/>
    <w:basedOn w:val="Normal"/>
    <w:next w:val="Normal"/>
    <w:autoRedefine/>
    <w:uiPriority w:val="39"/>
    <w:unhideWhenUsed/>
    <w:rsid w:val="00D25D40"/>
    <w:pPr>
      <w:spacing w:after="0"/>
      <w:ind w:left="1760"/>
    </w:pPr>
    <w:rPr>
      <w:rFonts w:cs="Calibri"/>
      <w:sz w:val="18"/>
      <w:szCs w:val="18"/>
    </w:rPr>
  </w:style>
  <w:style w:type="paragraph" w:customStyle="1" w:styleId="Tablenotes">
    <w:name w:val="Table notes"/>
    <w:basedOn w:val="Tabletext"/>
    <w:autoRedefine/>
    <w:qFormat/>
    <w:rsid w:val="00D25D40"/>
    <w:pPr>
      <w:spacing w:after="240"/>
    </w:pPr>
    <w:rPr>
      <w:rFonts w:eastAsia="Calibri"/>
      <w:sz w:val="18"/>
      <w:lang w:val="en-US"/>
    </w:rPr>
  </w:style>
  <w:style w:type="paragraph" w:customStyle="1" w:styleId="Annexpara">
    <w:name w:val="Annex para"/>
    <w:basedOn w:val="Para"/>
    <w:autoRedefine/>
    <w:qFormat/>
    <w:rsid w:val="00162673"/>
    <w:pPr>
      <w:numPr>
        <w:numId w:val="0"/>
      </w:numPr>
    </w:pPr>
    <w:rPr>
      <w:szCs w:val="20"/>
    </w:rPr>
  </w:style>
  <w:style w:type="paragraph" w:styleId="Revision">
    <w:name w:val="Revision"/>
    <w:hidden/>
    <w:uiPriority w:val="99"/>
    <w:semiHidden/>
    <w:rsid w:val="00441582"/>
    <w:pPr>
      <w:spacing w:after="0" w:line="240" w:lineRule="auto"/>
    </w:pPr>
    <w:rPr>
      <w:rFonts w:ascii="Calibri" w:eastAsia="SimSun" w:hAnsi="Calibri" w:cs="Times New Roman"/>
    </w:rPr>
  </w:style>
  <w:style w:type="paragraph" w:customStyle="1" w:styleId="Default">
    <w:name w:val="Default"/>
    <w:rsid w:val="00690966"/>
    <w:pPr>
      <w:autoSpaceDE w:val="0"/>
      <w:autoSpaceDN w:val="0"/>
      <w:adjustRightInd w:val="0"/>
      <w:spacing w:after="0" w:line="240" w:lineRule="auto"/>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BF0A92"/>
    <w:pPr>
      <w:spacing w:after="0" w:line="240" w:lineRule="auto"/>
    </w:pPr>
    <w:rPr>
      <w:rFonts w:asciiTheme="minorHAnsi" w:eastAsiaTheme="minorHAnsi" w:hAnsiTheme="minorHAnsi" w:cstheme="minorBidi"/>
      <w:sz w:val="20"/>
      <w:szCs w:val="20"/>
      <w:lang w:val="ru-RU"/>
    </w:rPr>
  </w:style>
  <w:style w:type="character" w:customStyle="1" w:styleId="EndnoteTextChar">
    <w:name w:val="Endnote Text Char"/>
    <w:basedOn w:val="DefaultParagraphFont"/>
    <w:link w:val="EndnoteText"/>
    <w:uiPriority w:val="99"/>
    <w:semiHidden/>
    <w:rsid w:val="00BF0A92"/>
    <w:rPr>
      <w:sz w:val="20"/>
      <w:szCs w:val="20"/>
      <w:lang w:val="ru-RU"/>
    </w:rPr>
  </w:style>
  <w:style w:type="character" w:styleId="EndnoteReference">
    <w:name w:val="endnote reference"/>
    <w:basedOn w:val="DefaultParagraphFont"/>
    <w:uiPriority w:val="99"/>
    <w:semiHidden/>
    <w:unhideWhenUsed/>
    <w:rsid w:val="00BF0A9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93270">
      <w:bodyDiv w:val="1"/>
      <w:marLeft w:val="0"/>
      <w:marRight w:val="0"/>
      <w:marTop w:val="0"/>
      <w:marBottom w:val="0"/>
      <w:divBdr>
        <w:top w:val="none" w:sz="0" w:space="0" w:color="auto"/>
        <w:left w:val="none" w:sz="0" w:space="0" w:color="auto"/>
        <w:bottom w:val="none" w:sz="0" w:space="0" w:color="auto"/>
        <w:right w:val="none" w:sz="0" w:space="0" w:color="auto"/>
      </w:divBdr>
      <w:divsChild>
        <w:div w:id="1558978359">
          <w:marLeft w:val="0"/>
          <w:marRight w:val="0"/>
          <w:marTop w:val="0"/>
          <w:marBottom w:val="0"/>
          <w:divBdr>
            <w:top w:val="none" w:sz="0" w:space="0" w:color="auto"/>
            <w:left w:val="none" w:sz="0" w:space="0" w:color="auto"/>
            <w:bottom w:val="none" w:sz="0" w:space="0" w:color="auto"/>
            <w:right w:val="none" w:sz="0" w:space="0" w:color="auto"/>
          </w:divBdr>
          <w:divsChild>
            <w:div w:id="103993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289094">
      <w:bodyDiv w:val="1"/>
      <w:marLeft w:val="0"/>
      <w:marRight w:val="0"/>
      <w:marTop w:val="0"/>
      <w:marBottom w:val="0"/>
      <w:divBdr>
        <w:top w:val="none" w:sz="0" w:space="0" w:color="auto"/>
        <w:left w:val="none" w:sz="0" w:space="0" w:color="auto"/>
        <w:bottom w:val="none" w:sz="0" w:space="0" w:color="auto"/>
        <w:right w:val="none" w:sz="0" w:space="0" w:color="auto"/>
      </w:divBdr>
    </w:div>
    <w:div w:id="182118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andgreen.fund/" TargetMode="External"/><Relationship Id="rId18" Type="http://schemas.openxmlformats.org/officeDocument/2006/relationships/diagramQuickStyle" Target="diagrams/quickStyle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ims.undg.org/downloadFile/8788f555ba432c662f8be1d29e04760c16dcf563ad651ba59a5d34501a6edfbf"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Layout" Target="diagrams/layout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non-grant_instruments" TargetMode="External"/><Relationship Id="rId24"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s://ims.undg.org/downloadFile/505b012e398561e59cee50803346f00d49f3c452dd8e16760521c22db743d200" TargetMode="External"/><Relationship Id="rId28" Type="http://schemas.openxmlformats.org/officeDocument/2006/relationships/customXml" Target="../customXml/item3.xml"/><Relationship Id="rId10" Type="http://schemas.openxmlformats.org/officeDocument/2006/relationships/hyperlink" Target="http://www.thegef.org/gef/policy/co-financing" TargetMode="External"/><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sailventures.com/" TargetMode="External"/><Relationship Id="rId22" Type="http://schemas.openxmlformats.org/officeDocument/2006/relationships/hyperlink" Target="https://ims.undg.org/downloadFile/66e569e80493448eb172e03c6bfb6bbaf439f11a5000f78a28665a41abfe5c8b" TargetMode="External"/><Relationship Id="rId27"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3" Type="http://schemas.openxmlformats.org/officeDocument/2006/relationships/hyperlink" Target="http://www.globalforestwatch.org"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en.oxforddictionaries.com/definition/de-risk" TargetMode="External"/><Relationship Id="rId6" Type="http://schemas.openxmlformats.org/officeDocument/2006/relationships/hyperlink" Target="http://www.andgreen.fund/downloads/Environmental-and-Social-Management-System(ESMS).pdf" TargetMode="External"/><Relationship Id="rId5" Type="http://schemas.openxmlformats.org/officeDocument/2006/relationships/hyperlink" Target="http://www.andgreen.fund/downloads/General-Lending-Policy.pdf" TargetMode="External"/><Relationship Id="rId4" Type="http://schemas.openxmlformats.org/officeDocument/2006/relationships/hyperlink" Target="http://www.wri.org/blog/2015/05/what-does-it-really-mean-when-company-commits-%E2%80%9Czero-deforestation%E2%80%9D"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1CBC3C3-9FC4-4C67-B293-25FAA76843F3}"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en-US"/>
        </a:p>
      </dgm:t>
    </dgm:pt>
    <dgm:pt modelId="{01D170AE-52B6-4474-8459-3415E0A5E01F}">
      <dgm:prSet phldrT="[Text]"/>
      <dgm:spPr/>
      <dgm:t>
        <a:bodyPr/>
        <a:lstStyle/>
        <a:p>
          <a:r>
            <a:rPr lang="en-US"/>
            <a:t>GEF</a:t>
          </a:r>
        </a:p>
      </dgm:t>
    </dgm:pt>
    <dgm:pt modelId="{DF82E338-621E-4F7C-B3CF-749E4336FECE}" type="parTrans" cxnId="{DAAE4BC8-ACA2-4F99-82E2-5F05BC3A84DB}">
      <dgm:prSet/>
      <dgm:spPr/>
      <dgm:t>
        <a:bodyPr/>
        <a:lstStyle/>
        <a:p>
          <a:endParaRPr lang="en-US"/>
        </a:p>
      </dgm:t>
    </dgm:pt>
    <dgm:pt modelId="{D72FABFD-DC94-4559-AA4F-B86431173959}" type="sibTrans" cxnId="{DAAE4BC8-ACA2-4F99-82E2-5F05BC3A84DB}">
      <dgm:prSet/>
      <dgm:spPr/>
      <dgm:t>
        <a:bodyPr/>
        <a:lstStyle/>
        <a:p>
          <a:endParaRPr lang="en-US"/>
        </a:p>
      </dgm:t>
    </dgm:pt>
    <dgm:pt modelId="{5D33C900-905B-4684-9D2C-35E2B94BD6C1}">
      <dgm:prSet phldrT="[Text]"/>
      <dgm:spPr/>
      <dgm:t>
        <a:bodyPr/>
        <a:lstStyle/>
        <a:p>
          <a:r>
            <a:rPr lang="en-US"/>
            <a:t>UN Environment</a:t>
          </a:r>
        </a:p>
      </dgm:t>
    </dgm:pt>
    <dgm:pt modelId="{06929C33-C685-4150-847F-8D6F755DDAAB}" type="parTrans" cxnId="{561F28BA-6A5D-410C-9C2B-774BC266B65F}">
      <dgm:prSet/>
      <dgm:spPr/>
      <dgm:t>
        <a:bodyPr/>
        <a:lstStyle/>
        <a:p>
          <a:endParaRPr lang="en-US"/>
        </a:p>
      </dgm:t>
    </dgm:pt>
    <dgm:pt modelId="{5098B759-E784-47F4-A63B-420794809DA8}" type="sibTrans" cxnId="{561F28BA-6A5D-410C-9C2B-774BC266B65F}">
      <dgm:prSet/>
      <dgm:spPr/>
      <dgm:t>
        <a:bodyPr/>
        <a:lstStyle/>
        <a:p>
          <a:endParaRPr lang="en-US"/>
        </a:p>
      </dgm:t>
    </dgm:pt>
    <dgm:pt modelId="{1274FE0C-C98E-4C32-9FFB-3B5465CBCFFC}">
      <dgm:prSet phldrT="[Text]" custT="1"/>
      <dgm:spPr/>
      <dgm:t>
        <a:bodyPr/>
        <a:lstStyle/>
        <a:p>
          <a:r>
            <a:rPr lang="en-US" sz="2000"/>
            <a:t>&amp;Green Fund</a:t>
          </a:r>
        </a:p>
        <a:p>
          <a:r>
            <a:rPr lang="en-US" sz="1100"/>
            <a:t>PMU: Sail Ventures</a:t>
          </a:r>
        </a:p>
      </dgm:t>
    </dgm:pt>
    <dgm:pt modelId="{DCA7A8FC-403D-4C86-B843-B15CF0D2F5E6}" type="parTrans" cxnId="{A2A1E8FC-E184-4171-B2E8-A273E0FE44DE}">
      <dgm:prSet/>
      <dgm:spPr/>
      <dgm:t>
        <a:bodyPr/>
        <a:lstStyle/>
        <a:p>
          <a:endParaRPr lang="en-US"/>
        </a:p>
      </dgm:t>
    </dgm:pt>
    <dgm:pt modelId="{DB77EB97-31F1-4CA1-A3C9-DCDCE8C6BC07}" type="sibTrans" cxnId="{A2A1E8FC-E184-4171-B2E8-A273E0FE44DE}">
      <dgm:prSet/>
      <dgm:spPr/>
      <dgm:t>
        <a:bodyPr/>
        <a:lstStyle/>
        <a:p>
          <a:endParaRPr lang="en-US"/>
        </a:p>
      </dgm:t>
    </dgm:pt>
    <dgm:pt modelId="{27518B70-0DB7-401D-A82F-5DE10A2F1915}" type="pres">
      <dgm:prSet presAssocID="{A1CBC3C3-9FC4-4C67-B293-25FAA76843F3}" presName="hierChild1" presStyleCnt="0">
        <dgm:presLayoutVars>
          <dgm:orgChart val="1"/>
          <dgm:chPref val="1"/>
          <dgm:dir/>
          <dgm:animOne val="branch"/>
          <dgm:animLvl val="lvl"/>
          <dgm:resizeHandles/>
        </dgm:presLayoutVars>
      </dgm:prSet>
      <dgm:spPr/>
    </dgm:pt>
    <dgm:pt modelId="{38B81036-E7D1-4462-9253-919FE57F3B13}" type="pres">
      <dgm:prSet presAssocID="{01D170AE-52B6-4474-8459-3415E0A5E01F}" presName="hierRoot1" presStyleCnt="0">
        <dgm:presLayoutVars>
          <dgm:hierBranch val="init"/>
        </dgm:presLayoutVars>
      </dgm:prSet>
      <dgm:spPr/>
    </dgm:pt>
    <dgm:pt modelId="{5A48E259-341E-4337-9BE0-18AE9C94381F}" type="pres">
      <dgm:prSet presAssocID="{01D170AE-52B6-4474-8459-3415E0A5E01F}" presName="rootComposite1" presStyleCnt="0"/>
      <dgm:spPr/>
    </dgm:pt>
    <dgm:pt modelId="{EC295CDF-5F9E-4010-82F6-F20E4EF3C03F}" type="pres">
      <dgm:prSet presAssocID="{01D170AE-52B6-4474-8459-3415E0A5E01F}" presName="rootText1" presStyleLbl="node0" presStyleIdx="0" presStyleCnt="1">
        <dgm:presLayoutVars>
          <dgm:chPref val="3"/>
        </dgm:presLayoutVars>
      </dgm:prSet>
      <dgm:spPr/>
    </dgm:pt>
    <dgm:pt modelId="{907E8B6D-9D63-459F-B3D3-35A65A22932A}" type="pres">
      <dgm:prSet presAssocID="{01D170AE-52B6-4474-8459-3415E0A5E01F}" presName="rootConnector1" presStyleLbl="node1" presStyleIdx="0" presStyleCnt="0"/>
      <dgm:spPr/>
    </dgm:pt>
    <dgm:pt modelId="{9A98224A-DCFF-401C-83F5-B38BA2334DD2}" type="pres">
      <dgm:prSet presAssocID="{01D170AE-52B6-4474-8459-3415E0A5E01F}" presName="hierChild2" presStyleCnt="0"/>
      <dgm:spPr/>
    </dgm:pt>
    <dgm:pt modelId="{248DBD31-DF88-488F-B35A-23F1FADC9DBA}" type="pres">
      <dgm:prSet presAssocID="{06929C33-C685-4150-847F-8D6F755DDAAB}" presName="Name37" presStyleLbl="parChTrans1D2" presStyleIdx="0" presStyleCnt="1"/>
      <dgm:spPr/>
    </dgm:pt>
    <dgm:pt modelId="{09FE3D24-E106-450F-BFE4-932F88506257}" type="pres">
      <dgm:prSet presAssocID="{5D33C900-905B-4684-9D2C-35E2B94BD6C1}" presName="hierRoot2" presStyleCnt="0">
        <dgm:presLayoutVars>
          <dgm:hierBranch/>
        </dgm:presLayoutVars>
      </dgm:prSet>
      <dgm:spPr/>
    </dgm:pt>
    <dgm:pt modelId="{91FF2FE3-AF6E-41FA-B836-F551EDB11C4F}" type="pres">
      <dgm:prSet presAssocID="{5D33C900-905B-4684-9D2C-35E2B94BD6C1}" presName="rootComposite" presStyleCnt="0"/>
      <dgm:spPr/>
    </dgm:pt>
    <dgm:pt modelId="{9B0862BD-6BB1-4178-9992-2DF79289C7D7}" type="pres">
      <dgm:prSet presAssocID="{5D33C900-905B-4684-9D2C-35E2B94BD6C1}" presName="rootText" presStyleLbl="node2" presStyleIdx="0" presStyleCnt="1">
        <dgm:presLayoutVars>
          <dgm:chPref val="3"/>
        </dgm:presLayoutVars>
      </dgm:prSet>
      <dgm:spPr/>
    </dgm:pt>
    <dgm:pt modelId="{3A9F4C4F-63A2-4BDD-B4AE-2A61D6BAC252}" type="pres">
      <dgm:prSet presAssocID="{5D33C900-905B-4684-9D2C-35E2B94BD6C1}" presName="rootConnector" presStyleLbl="node2" presStyleIdx="0" presStyleCnt="1"/>
      <dgm:spPr/>
    </dgm:pt>
    <dgm:pt modelId="{8032FD10-9D8E-44F9-9C48-0F5EB81062D4}" type="pres">
      <dgm:prSet presAssocID="{5D33C900-905B-4684-9D2C-35E2B94BD6C1}" presName="hierChild4" presStyleCnt="0"/>
      <dgm:spPr/>
    </dgm:pt>
    <dgm:pt modelId="{59843333-8D5A-402F-A1E2-CE130DF722DC}" type="pres">
      <dgm:prSet presAssocID="{DCA7A8FC-403D-4C86-B843-B15CF0D2F5E6}" presName="Name35" presStyleLbl="parChTrans1D3" presStyleIdx="0" presStyleCnt="1"/>
      <dgm:spPr/>
    </dgm:pt>
    <dgm:pt modelId="{6DF3A4AD-7854-4B70-88B7-546F7A44A3F2}" type="pres">
      <dgm:prSet presAssocID="{1274FE0C-C98E-4C32-9FFB-3B5465CBCFFC}" presName="hierRoot2" presStyleCnt="0">
        <dgm:presLayoutVars>
          <dgm:hierBranch val="hang"/>
        </dgm:presLayoutVars>
      </dgm:prSet>
      <dgm:spPr/>
    </dgm:pt>
    <dgm:pt modelId="{3CA35DE7-7072-4D47-9CCC-79BF2D870BE6}" type="pres">
      <dgm:prSet presAssocID="{1274FE0C-C98E-4C32-9FFB-3B5465CBCFFC}" presName="rootComposite" presStyleCnt="0"/>
      <dgm:spPr/>
    </dgm:pt>
    <dgm:pt modelId="{0738152E-EF45-49A1-A1D5-6C9CC3E43917}" type="pres">
      <dgm:prSet presAssocID="{1274FE0C-C98E-4C32-9FFB-3B5465CBCFFC}" presName="rootText" presStyleLbl="node3" presStyleIdx="0" presStyleCnt="1">
        <dgm:presLayoutVars>
          <dgm:chPref val="3"/>
        </dgm:presLayoutVars>
      </dgm:prSet>
      <dgm:spPr/>
    </dgm:pt>
    <dgm:pt modelId="{56BAE4B9-7F6A-4860-B07E-B6E130B37FC0}" type="pres">
      <dgm:prSet presAssocID="{1274FE0C-C98E-4C32-9FFB-3B5465CBCFFC}" presName="rootConnector" presStyleLbl="node3" presStyleIdx="0" presStyleCnt="1"/>
      <dgm:spPr/>
    </dgm:pt>
    <dgm:pt modelId="{A15E0458-553B-4EEB-9F6E-B0BCEBF23525}" type="pres">
      <dgm:prSet presAssocID="{1274FE0C-C98E-4C32-9FFB-3B5465CBCFFC}" presName="hierChild4" presStyleCnt="0"/>
      <dgm:spPr/>
    </dgm:pt>
    <dgm:pt modelId="{85E74237-DFFA-45AD-83D8-C551C259AAA7}" type="pres">
      <dgm:prSet presAssocID="{1274FE0C-C98E-4C32-9FFB-3B5465CBCFFC}" presName="hierChild5" presStyleCnt="0"/>
      <dgm:spPr/>
    </dgm:pt>
    <dgm:pt modelId="{655E765B-8FD7-488A-B356-84064F269938}" type="pres">
      <dgm:prSet presAssocID="{5D33C900-905B-4684-9D2C-35E2B94BD6C1}" presName="hierChild5" presStyleCnt="0"/>
      <dgm:spPr/>
    </dgm:pt>
    <dgm:pt modelId="{F943F72F-DE27-46C7-A0F1-1DEF023C3684}" type="pres">
      <dgm:prSet presAssocID="{01D170AE-52B6-4474-8459-3415E0A5E01F}" presName="hierChild3" presStyleCnt="0"/>
      <dgm:spPr/>
    </dgm:pt>
  </dgm:ptLst>
  <dgm:cxnLst>
    <dgm:cxn modelId="{442B7F07-4D00-4D2C-9AE5-84C508E696FF}" type="presOf" srcId="{A1CBC3C3-9FC4-4C67-B293-25FAA76843F3}" destId="{27518B70-0DB7-401D-A82F-5DE10A2F1915}" srcOrd="0" destOrd="0" presId="urn:microsoft.com/office/officeart/2005/8/layout/orgChart1"/>
    <dgm:cxn modelId="{4361210C-2B13-4399-B706-401BEA2E84DA}" type="presOf" srcId="{1274FE0C-C98E-4C32-9FFB-3B5465CBCFFC}" destId="{56BAE4B9-7F6A-4860-B07E-B6E130B37FC0}" srcOrd="1" destOrd="0" presId="urn:microsoft.com/office/officeart/2005/8/layout/orgChart1"/>
    <dgm:cxn modelId="{3214351B-5FEE-4F43-B50C-F08C87307671}" type="presOf" srcId="{01D170AE-52B6-4474-8459-3415E0A5E01F}" destId="{907E8B6D-9D63-459F-B3D3-35A65A22932A}" srcOrd="1" destOrd="0" presId="urn:microsoft.com/office/officeart/2005/8/layout/orgChart1"/>
    <dgm:cxn modelId="{00DA0740-D00B-44E9-8EF1-D650CEC14E1D}" type="presOf" srcId="{06929C33-C685-4150-847F-8D6F755DDAAB}" destId="{248DBD31-DF88-488F-B35A-23F1FADC9DBA}" srcOrd="0" destOrd="0" presId="urn:microsoft.com/office/officeart/2005/8/layout/orgChart1"/>
    <dgm:cxn modelId="{A6FC9985-9E76-4746-8539-96B4958CEB2F}" type="presOf" srcId="{DCA7A8FC-403D-4C86-B843-B15CF0D2F5E6}" destId="{59843333-8D5A-402F-A1E2-CE130DF722DC}" srcOrd="0" destOrd="0" presId="urn:microsoft.com/office/officeart/2005/8/layout/orgChart1"/>
    <dgm:cxn modelId="{726E1AA7-2B38-40F5-86E8-4186B4D9996D}" type="presOf" srcId="{5D33C900-905B-4684-9D2C-35E2B94BD6C1}" destId="{3A9F4C4F-63A2-4BDD-B4AE-2A61D6BAC252}" srcOrd="1" destOrd="0" presId="urn:microsoft.com/office/officeart/2005/8/layout/orgChart1"/>
    <dgm:cxn modelId="{561F28BA-6A5D-410C-9C2B-774BC266B65F}" srcId="{01D170AE-52B6-4474-8459-3415E0A5E01F}" destId="{5D33C900-905B-4684-9D2C-35E2B94BD6C1}" srcOrd="0" destOrd="0" parTransId="{06929C33-C685-4150-847F-8D6F755DDAAB}" sibTransId="{5098B759-E784-47F4-A63B-420794809DA8}"/>
    <dgm:cxn modelId="{60CFCABC-5254-4EDF-8034-E6709E146773}" type="presOf" srcId="{5D33C900-905B-4684-9D2C-35E2B94BD6C1}" destId="{9B0862BD-6BB1-4178-9992-2DF79289C7D7}" srcOrd="0" destOrd="0" presId="urn:microsoft.com/office/officeart/2005/8/layout/orgChart1"/>
    <dgm:cxn modelId="{0D8C6BBE-650E-4B65-B276-0E4781567117}" type="presOf" srcId="{1274FE0C-C98E-4C32-9FFB-3B5465CBCFFC}" destId="{0738152E-EF45-49A1-A1D5-6C9CC3E43917}" srcOrd="0" destOrd="0" presId="urn:microsoft.com/office/officeart/2005/8/layout/orgChart1"/>
    <dgm:cxn modelId="{DAAE4BC8-ACA2-4F99-82E2-5F05BC3A84DB}" srcId="{A1CBC3C3-9FC4-4C67-B293-25FAA76843F3}" destId="{01D170AE-52B6-4474-8459-3415E0A5E01F}" srcOrd="0" destOrd="0" parTransId="{DF82E338-621E-4F7C-B3CF-749E4336FECE}" sibTransId="{D72FABFD-DC94-4559-AA4F-B86431173959}"/>
    <dgm:cxn modelId="{48024ACA-DB4A-4F15-A004-2AC637C62781}" type="presOf" srcId="{01D170AE-52B6-4474-8459-3415E0A5E01F}" destId="{EC295CDF-5F9E-4010-82F6-F20E4EF3C03F}" srcOrd="0" destOrd="0" presId="urn:microsoft.com/office/officeart/2005/8/layout/orgChart1"/>
    <dgm:cxn modelId="{A2A1E8FC-E184-4171-B2E8-A273E0FE44DE}" srcId="{5D33C900-905B-4684-9D2C-35E2B94BD6C1}" destId="{1274FE0C-C98E-4C32-9FFB-3B5465CBCFFC}" srcOrd="0" destOrd="0" parTransId="{DCA7A8FC-403D-4C86-B843-B15CF0D2F5E6}" sibTransId="{DB77EB97-31F1-4CA1-A3C9-DCDCE8C6BC07}"/>
    <dgm:cxn modelId="{904DC39C-EF87-4C1E-B773-C19C2351E5CC}" type="presParOf" srcId="{27518B70-0DB7-401D-A82F-5DE10A2F1915}" destId="{38B81036-E7D1-4462-9253-919FE57F3B13}" srcOrd="0" destOrd="0" presId="urn:microsoft.com/office/officeart/2005/8/layout/orgChart1"/>
    <dgm:cxn modelId="{5FD9686F-AF83-4920-A235-CC454AA7BBD0}" type="presParOf" srcId="{38B81036-E7D1-4462-9253-919FE57F3B13}" destId="{5A48E259-341E-4337-9BE0-18AE9C94381F}" srcOrd="0" destOrd="0" presId="urn:microsoft.com/office/officeart/2005/8/layout/orgChart1"/>
    <dgm:cxn modelId="{BCB8FAC2-2E69-45E7-B090-798CD5FEF8C4}" type="presParOf" srcId="{5A48E259-341E-4337-9BE0-18AE9C94381F}" destId="{EC295CDF-5F9E-4010-82F6-F20E4EF3C03F}" srcOrd="0" destOrd="0" presId="urn:microsoft.com/office/officeart/2005/8/layout/orgChart1"/>
    <dgm:cxn modelId="{3940B4FA-F290-4029-95CD-B168AAE91415}" type="presParOf" srcId="{5A48E259-341E-4337-9BE0-18AE9C94381F}" destId="{907E8B6D-9D63-459F-B3D3-35A65A22932A}" srcOrd="1" destOrd="0" presId="urn:microsoft.com/office/officeart/2005/8/layout/orgChart1"/>
    <dgm:cxn modelId="{A71E8CF6-4614-47A4-9CD9-7AC5EFCD39DA}" type="presParOf" srcId="{38B81036-E7D1-4462-9253-919FE57F3B13}" destId="{9A98224A-DCFF-401C-83F5-B38BA2334DD2}" srcOrd="1" destOrd="0" presId="urn:microsoft.com/office/officeart/2005/8/layout/orgChart1"/>
    <dgm:cxn modelId="{8E021F17-01B2-417F-B897-3FECFE0E574A}" type="presParOf" srcId="{9A98224A-DCFF-401C-83F5-B38BA2334DD2}" destId="{248DBD31-DF88-488F-B35A-23F1FADC9DBA}" srcOrd="0" destOrd="0" presId="urn:microsoft.com/office/officeart/2005/8/layout/orgChart1"/>
    <dgm:cxn modelId="{0A2A1D21-7396-492F-83EE-CE8873667639}" type="presParOf" srcId="{9A98224A-DCFF-401C-83F5-B38BA2334DD2}" destId="{09FE3D24-E106-450F-BFE4-932F88506257}" srcOrd="1" destOrd="0" presId="urn:microsoft.com/office/officeart/2005/8/layout/orgChart1"/>
    <dgm:cxn modelId="{D8745BD1-D5E3-4FE1-A9E5-7064F9762539}" type="presParOf" srcId="{09FE3D24-E106-450F-BFE4-932F88506257}" destId="{91FF2FE3-AF6E-41FA-B836-F551EDB11C4F}" srcOrd="0" destOrd="0" presId="urn:microsoft.com/office/officeart/2005/8/layout/orgChart1"/>
    <dgm:cxn modelId="{CB8B0730-A766-444C-984A-924B9602BCC4}" type="presParOf" srcId="{91FF2FE3-AF6E-41FA-B836-F551EDB11C4F}" destId="{9B0862BD-6BB1-4178-9992-2DF79289C7D7}" srcOrd="0" destOrd="0" presId="urn:microsoft.com/office/officeart/2005/8/layout/orgChart1"/>
    <dgm:cxn modelId="{1FEE63D4-7D5F-4EDF-876A-41B3D785B5B1}" type="presParOf" srcId="{91FF2FE3-AF6E-41FA-B836-F551EDB11C4F}" destId="{3A9F4C4F-63A2-4BDD-B4AE-2A61D6BAC252}" srcOrd="1" destOrd="0" presId="urn:microsoft.com/office/officeart/2005/8/layout/orgChart1"/>
    <dgm:cxn modelId="{C6E2E5E6-CFB9-4FE8-9A4F-763C7578C0D4}" type="presParOf" srcId="{09FE3D24-E106-450F-BFE4-932F88506257}" destId="{8032FD10-9D8E-44F9-9C48-0F5EB81062D4}" srcOrd="1" destOrd="0" presId="urn:microsoft.com/office/officeart/2005/8/layout/orgChart1"/>
    <dgm:cxn modelId="{A5D7DE85-7AA9-41AD-A916-DB1BA6D6A94B}" type="presParOf" srcId="{8032FD10-9D8E-44F9-9C48-0F5EB81062D4}" destId="{59843333-8D5A-402F-A1E2-CE130DF722DC}" srcOrd="0" destOrd="0" presId="urn:microsoft.com/office/officeart/2005/8/layout/orgChart1"/>
    <dgm:cxn modelId="{DBEA1075-BDB4-45D7-8859-BCED1B14DB46}" type="presParOf" srcId="{8032FD10-9D8E-44F9-9C48-0F5EB81062D4}" destId="{6DF3A4AD-7854-4B70-88B7-546F7A44A3F2}" srcOrd="1" destOrd="0" presId="urn:microsoft.com/office/officeart/2005/8/layout/orgChart1"/>
    <dgm:cxn modelId="{FDA5F78D-A0C1-49E0-8134-63C3B5108703}" type="presParOf" srcId="{6DF3A4AD-7854-4B70-88B7-546F7A44A3F2}" destId="{3CA35DE7-7072-4D47-9CCC-79BF2D870BE6}" srcOrd="0" destOrd="0" presId="urn:microsoft.com/office/officeart/2005/8/layout/orgChart1"/>
    <dgm:cxn modelId="{83F3879C-0DB4-4626-9404-96248498904A}" type="presParOf" srcId="{3CA35DE7-7072-4D47-9CCC-79BF2D870BE6}" destId="{0738152E-EF45-49A1-A1D5-6C9CC3E43917}" srcOrd="0" destOrd="0" presId="urn:microsoft.com/office/officeart/2005/8/layout/orgChart1"/>
    <dgm:cxn modelId="{073CA2A5-89A0-4E3E-9C8A-D28202AE0081}" type="presParOf" srcId="{3CA35DE7-7072-4D47-9CCC-79BF2D870BE6}" destId="{56BAE4B9-7F6A-4860-B07E-B6E130B37FC0}" srcOrd="1" destOrd="0" presId="urn:microsoft.com/office/officeart/2005/8/layout/orgChart1"/>
    <dgm:cxn modelId="{4D3AD84A-C9BE-48E6-BC66-993BFE35CBC8}" type="presParOf" srcId="{6DF3A4AD-7854-4B70-88B7-546F7A44A3F2}" destId="{A15E0458-553B-4EEB-9F6E-B0BCEBF23525}" srcOrd="1" destOrd="0" presId="urn:microsoft.com/office/officeart/2005/8/layout/orgChart1"/>
    <dgm:cxn modelId="{F2DC62F0-AEE5-4DF4-8F5A-C591522944E6}" type="presParOf" srcId="{6DF3A4AD-7854-4B70-88B7-546F7A44A3F2}" destId="{85E74237-DFFA-45AD-83D8-C551C259AAA7}" srcOrd="2" destOrd="0" presId="urn:microsoft.com/office/officeart/2005/8/layout/orgChart1"/>
    <dgm:cxn modelId="{9E24BFDC-6482-46AA-84E7-2687ED4EC010}" type="presParOf" srcId="{09FE3D24-E106-450F-BFE4-932F88506257}" destId="{655E765B-8FD7-488A-B356-84064F269938}" srcOrd="2" destOrd="0" presId="urn:microsoft.com/office/officeart/2005/8/layout/orgChart1"/>
    <dgm:cxn modelId="{7F17750B-0EB1-4135-B140-C8801C21C29B}" type="presParOf" srcId="{38B81036-E7D1-4462-9253-919FE57F3B13}" destId="{F943F72F-DE27-46C7-A0F1-1DEF023C3684}"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843333-8D5A-402F-A1E2-CE130DF722DC}">
      <dsp:nvSpPr>
        <dsp:cNvPr id="0" name=""/>
        <dsp:cNvSpPr/>
      </dsp:nvSpPr>
      <dsp:spPr>
        <a:xfrm>
          <a:off x="2697480" y="2016686"/>
          <a:ext cx="91440" cy="349848"/>
        </a:xfrm>
        <a:custGeom>
          <a:avLst/>
          <a:gdLst/>
          <a:ahLst/>
          <a:cxnLst/>
          <a:rect l="0" t="0" r="0" b="0"/>
          <a:pathLst>
            <a:path>
              <a:moveTo>
                <a:pt x="45720" y="0"/>
              </a:moveTo>
              <a:lnTo>
                <a:pt x="45720" y="349848"/>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8DBD31-DF88-488F-B35A-23F1FADC9DBA}">
      <dsp:nvSpPr>
        <dsp:cNvPr id="0" name=""/>
        <dsp:cNvSpPr/>
      </dsp:nvSpPr>
      <dsp:spPr>
        <a:xfrm>
          <a:off x="2697480" y="833865"/>
          <a:ext cx="91440" cy="349848"/>
        </a:xfrm>
        <a:custGeom>
          <a:avLst/>
          <a:gdLst/>
          <a:ahLst/>
          <a:cxnLst/>
          <a:rect l="0" t="0" r="0" b="0"/>
          <a:pathLst>
            <a:path>
              <a:moveTo>
                <a:pt x="45720" y="0"/>
              </a:moveTo>
              <a:lnTo>
                <a:pt x="45720" y="349848"/>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C295CDF-5F9E-4010-82F6-F20E4EF3C03F}">
      <dsp:nvSpPr>
        <dsp:cNvPr id="0" name=""/>
        <dsp:cNvSpPr/>
      </dsp:nvSpPr>
      <dsp:spPr>
        <a:xfrm>
          <a:off x="1910227" y="892"/>
          <a:ext cx="1665944" cy="83297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1066800">
            <a:lnSpc>
              <a:spcPct val="90000"/>
            </a:lnSpc>
            <a:spcBef>
              <a:spcPct val="0"/>
            </a:spcBef>
            <a:spcAft>
              <a:spcPct val="35000"/>
            </a:spcAft>
            <a:buNone/>
          </a:pPr>
          <a:r>
            <a:rPr lang="en-US" sz="2400" kern="1200"/>
            <a:t>GEF</a:t>
          </a:r>
        </a:p>
      </dsp:txBody>
      <dsp:txXfrm>
        <a:off x="1910227" y="892"/>
        <a:ext cx="1665944" cy="832972"/>
      </dsp:txXfrm>
    </dsp:sp>
    <dsp:sp modelId="{9B0862BD-6BB1-4178-9992-2DF79289C7D7}">
      <dsp:nvSpPr>
        <dsp:cNvPr id="0" name=""/>
        <dsp:cNvSpPr/>
      </dsp:nvSpPr>
      <dsp:spPr>
        <a:xfrm>
          <a:off x="1910227" y="1183713"/>
          <a:ext cx="1665944" cy="83297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1066800">
            <a:lnSpc>
              <a:spcPct val="90000"/>
            </a:lnSpc>
            <a:spcBef>
              <a:spcPct val="0"/>
            </a:spcBef>
            <a:spcAft>
              <a:spcPct val="35000"/>
            </a:spcAft>
            <a:buNone/>
          </a:pPr>
          <a:r>
            <a:rPr lang="en-US" sz="2400" kern="1200"/>
            <a:t>UN Environment</a:t>
          </a:r>
        </a:p>
      </dsp:txBody>
      <dsp:txXfrm>
        <a:off x="1910227" y="1183713"/>
        <a:ext cx="1665944" cy="832972"/>
      </dsp:txXfrm>
    </dsp:sp>
    <dsp:sp modelId="{0738152E-EF45-49A1-A1D5-6C9CC3E43917}">
      <dsp:nvSpPr>
        <dsp:cNvPr id="0" name=""/>
        <dsp:cNvSpPr/>
      </dsp:nvSpPr>
      <dsp:spPr>
        <a:xfrm>
          <a:off x="1910227" y="2366534"/>
          <a:ext cx="1665944" cy="83297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n-US" sz="2000" kern="1200"/>
            <a:t>&amp;Green Fund</a:t>
          </a:r>
        </a:p>
        <a:p>
          <a:pPr marL="0" lvl="0" indent="0" algn="ctr" defTabSz="889000">
            <a:lnSpc>
              <a:spcPct val="90000"/>
            </a:lnSpc>
            <a:spcBef>
              <a:spcPct val="0"/>
            </a:spcBef>
            <a:spcAft>
              <a:spcPct val="35000"/>
            </a:spcAft>
            <a:buNone/>
          </a:pPr>
          <a:r>
            <a:rPr lang="en-US" sz="1100" kern="1200"/>
            <a:t>PMU: Sail Ventures</a:t>
          </a:r>
        </a:p>
      </dsp:txBody>
      <dsp:txXfrm>
        <a:off x="1910227" y="2366534"/>
        <a:ext cx="1665944" cy="83297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295C94-4E5C-4E49-9162-5D915E63F5D5}">
  <ds:schemaRefs>
    <ds:schemaRef ds:uri="http://schemas.openxmlformats.org/officeDocument/2006/bibliography"/>
  </ds:schemaRefs>
</ds:datastoreItem>
</file>

<file path=customXml/itemProps2.xml><?xml version="1.0" encoding="utf-8"?>
<ds:datastoreItem xmlns:ds="http://schemas.openxmlformats.org/officeDocument/2006/customXml" ds:itemID="{25D7FA52-07F3-4359-B22E-379EE0DE50D9}"/>
</file>

<file path=customXml/itemProps3.xml><?xml version="1.0" encoding="utf-8"?>
<ds:datastoreItem xmlns:ds="http://schemas.openxmlformats.org/officeDocument/2006/customXml" ds:itemID="{1BA30ECD-5A25-497E-899B-212957E92B47}"/>
</file>

<file path=customXml/itemProps4.xml><?xml version="1.0" encoding="utf-8"?>
<ds:datastoreItem xmlns:ds="http://schemas.openxmlformats.org/officeDocument/2006/customXml" ds:itemID="{C404F780-6027-4502-AD88-E8D2CD6611A3}"/>
</file>

<file path=docProps/app.xml><?xml version="1.0" encoding="utf-8"?>
<Properties xmlns="http://schemas.openxmlformats.org/officeDocument/2006/extended-properties" xmlns:vt="http://schemas.openxmlformats.org/officeDocument/2006/docPropsVTypes">
  <Template>Normal.dotm</Template>
  <TotalTime>8</TotalTime>
  <Pages>41</Pages>
  <Words>22263</Words>
  <Characters>126900</Characters>
  <Application>Microsoft Office Word</Application>
  <DocSecurity>4</DocSecurity>
  <Lines>1057</Lines>
  <Paragraphs>297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Pant</dc:creator>
  <cp:lastModifiedBy>Nhu Quynh Phan</cp:lastModifiedBy>
  <cp:revision>2</cp:revision>
  <cp:lastPrinted>2018-01-03T15:05:00Z</cp:lastPrinted>
  <dcterms:created xsi:type="dcterms:W3CDTF">2018-01-03T15:13:00Z</dcterms:created>
  <dcterms:modified xsi:type="dcterms:W3CDTF">2018-01-03T15:13:00Z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